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1796" w14:textId="77777777" w:rsidR="00FB6144" w:rsidRPr="00455534" w:rsidRDefault="006F56BA" w:rsidP="00FB6144">
      <w:pPr>
        <w:ind w:left="1620" w:hanging="1620"/>
        <w:rPr>
          <w:vanish/>
          <w:color w:val="FF0000"/>
          <w:sz w:val="18"/>
        </w:rPr>
      </w:pPr>
      <w:bookmarkStart w:id="0" w:name="_GoBack"/>
      <w:bookmarkEnd w:id="0"/>
      <w:r w:rsidRPr="00455534">
        <w:rPr>
          <w:b/>
          <w:vanish/>
          <w:color w:val="FF0000"/>
          <w:spacing w:val="-3"/>
          <w:sz w:val="18"/>
        </w:rPr>
        <w:t>GUIDELINES</w:t>
      </w:r>
      <w:r w:rsidRPr="00455534">
        <w:rPr>
          <w:b/>
          <w:snapToGrid w:val="0"/>
          <w:vanish/>
          <w:color w:val="FF0000"/>
          <w:spacing w:val="-3"/>
          <w:sz w:val="18"/>
        </w:rPr>
        <w:t xml:space="preserve"> — </w:t>
      </w:r>
      <w:r w:rsidRPr="00455534">
        <w:rPr>
          <w:vanish/>
          <w:color w:val="FF0000"/>
          <w:sz w:val="18"/>
        </w:rPr>
        <w:t>Federal projects only. {2007-</w:t>
      </w:r>
      <w:hyperlink w:history="1">
        <w:r w:rsidRPr="00455534">
          <w:rPr>
            <w:rStyle w:val="Hyperlink"/>
            <w:iCs/>
            <w:vanish/>
            <w:color w:val="FF0000"/>
            <w:sz w:val="18"/>
          </w:rPr>
          <w:t>S107HF1</w:t>
        </w:r>
      </w:hyperlink>
      <w:r w:rsidRPr="00455534">
        <w:rPr>
          <w:vanish/>
          <w:color w:val="FF0000"/>
          <w:sz w:val="18"/>
        </w:rPr>
        <w:t>}</w:t>
      </w:r>
    </w:p>
    <w:p w14:paraId="16417A82" w14:textId="77777777" w:rsidR="00FB6144" w:rsidRPr="00455534" w:rsidRDefault="00FB6144" w:rsidP="00FB6144">
      <w:pPr>
        <w:jc w:val="both"/>
        <w:rPr>
          <w:vanish/>
          <w:color w:val="FF0000"/>
          <w:sz w:val="18"/>
        </w:rPr>
      </w:pPr>
    </w:p>
    <w:p w14:paraId="69059CB9" w14:textId="5758AC70" w:rsidR="00FB6144" w:rsidRDefault="006F56BA" w:rsidP="00FB6144">
      <w:pPr>
        <w:tabs>
          <w:tab w:val="right" w:pos="9360"/>
        </w:tabs>
        <w:rPr>
          <w:rFonts w:cs="Arial"/>
        </w:rPr>
      </w:pPr>
      <w:hyperlink r:id="rId9" w:tooltip="SECTION 107.15 (DBEs) 8-18-17 Guidelines-Federal projects only.{2007-S107HF1}" w:history="1">
        <w:r>
          <w:rPr>
            <w:rStyle w:val="Hyperlink"/>
            <w:rFonts w:cs="Arial"/>
            <w:b/>
            <w:bCs/>
          </w:rPr>
          <w:t>SP107-001510-02</w:t>
        </w:r>
      </w:hyperlink>
      <w:r w:rsidR="00D1149F" w:rsidRPr="00105819">
        <w:rPr>
          <w:rStyle w:val="Hyperlink"/>
          <w:bCs/>
          <w:color w:val="auto"/>
          <w:u w:val="none"/>
        </w:rPr>
        <w:t xml:space="preserve"> [formerly </w:t>
      </w:r>
      <w:hyperlink r:id="rId10" w:tooltip="DBE REQUIREMENTS 8-18-17 Guidelines-Federal projects only.{2007-S107HF1}" w:history="1">
        <w:r w:rsidR="00105819" w:rsidRPr="00105819">
          <w:rPr>
            <w:rStyle w:val="Hyperlink"/>
            <w:bCs/>
            <w:color w:val="auto"/>
            <w:u w:val="none"/>
          </w:rPr>
          <w:t>SP107-150100-01</w:t>
        </w:r>
      </w:hyperlink>
      <w:r w:rsidR="00D1149F" w:rsidRPr="00105819">
        <w:rPr>
          <w:rStyle w:val="Hyperlink"/>
          <w:bCs/>
          <w:color w:val="auto"/>
          <w:u w:val="none"/>
        </w:rPr>
        <w:t>]</w:t>
      </w:r>
    </w:p>
    <w:p w14:paraId="175A5AB3" w14:textId="77777777" w:rsidR="00FB6144" w:rsidRPr="00F000BE" w:rsidRDefault="00FB6144" w:rsidP="00FB6144">
      <w:pPr>
        <w:tabs>
          <w:tab w:val="right" w:pos="9360"/>
        </w:tabs>
      </w:pPr>
    </w:p>
    <w:p w14:paraId="00563150" w14:textId="77777777" w:rsidR="00FB6144" w:rsidRPr="00F000BE" w:rsidRDefault="006F56BA" w:rsidP="00FB6144">
      <w:pPr>
        <w:jc w:val="center"/>
      </w:pPr>
      <w:r w:rsidRPr="00F000BE">
        <w:t>VIRGINIA DEPARTMENT OF TRANSPORTATI</w:t>
      </w:r>
      <w:r w:rsidRPr="00F000BE">
        <w:t>ON</w:t>
      </w:r>
    </w:p>
    <w:p w14:paraId="05AE8AF4" w14:textId="77777777" w:rsidR="00FB6144" w:rsidRPr="00F000BE" w:rsidRDefault="006F56BA" w:rsidP="00FB6144">
      <w:pPr>
        <w:jc w:val="center"/>
      </w:pPr>
      <w:r w:rsidRPr="00F000BE">
        <w:t>SPECIAL PROVISION FOR</w:t>
      </w:r>
    </w:p>
    <w:p w14:paraId="141571A9" w14:textId="3D5D7241" w:rsidR="00FB6144" w:rsidRDefault="006F56BA" w:rsidP="00FB6144">
      <w:pPr>
        <w:jc w:val="center"/>
        <w:rPr>
          <w:b/>
        </w:rPr>
      </w:pPr>
      <w:r>
        <w:rPr>
          <w:b/>
        </w:rPr>
        <w:t>DBE REQUIREMENTS</w:t>
      </w:r>
      <w:r>
        <w:rPr>
          <w:b/>
        </w:rPr>
        <w:fldChar w:fldCharType="begin"/>
      </w:r>
      <w:r w:rsidRPr="00F000BE">
        <w:instrText xml:space="preserve"> TC "</w:instrText>
      </w:r>
      <w:bookmarkStart w:id="1" w:name="_Toc94428251"/>
      <w:bookmarkStart w:id="2" w:name="_Toc280344145"/>
      <w:bookmarkStart w:id="3" w:name="_Toc447708125"/>
      <w:bookmarkStart w:id="4" w:name="_Toc448219496"/>
      <w:r w:rsidR="001A065B" w:rsidRPr="001A065B">
        <w:rPr>
          <w:b/>
        </w:rPr>
        <w:instrText>SP107-001510-0</w:instrText>
      </w:r>
      <w:r w:rsidR="00DF7609">
        <w:rPr>
          <w:b/>
        </w:rPr>
        <w:instrText>2</w:instrText>
      </w:r>
      <w:r w:rsidRPr="00F000BE">
        <w:rPr>
          <w:spacing w:val="-3"/>
        </w:rPr>
        <w:instrText>   </w:instrText>
      </w:r>
      <w:r w:rsidRPr="00F000BE">
        <w:rPr>
          <w:b/>
        </w:rPr>
        <w:instrText>SEC. 107.15</w:instrText>
      </w:r>
      <w:r w:rsidRPr="007D15E6">
        <w:instrText xml:space="preserve"> (DBEs</w:instrText>
      </w:r>
      <w:proofErr w:type="gramStart"/>
      <w:r w:rsidRPr="007D15E6">
        <w:instrText>)</w:instrText>
      </w:r>
      <w:r w:rsidRPr="007D15E6">
        <w:rPr>
          <w:bCs/>
        </w:rPr>
        <w:instrText xml:space="preserve">  </w:instrText>
      </w:r>
      <w:r>
        <w:rPr>
          <w:bCs/>
        </w:rPr>
        <w:instrText>8</w:instrText>
      </w:r>
      <w:proofErr w:type="gramEnd"/>
      <w:r w:rsidRPr="00F000BE">
        <w:rPr>
          <w:bCs/>
        </w:rPr>
        <w:instrText>-</w:instrText>
      </w:r>
      <w:r>
        <w:rPr>
          <w:bCs/>
        </w:rPr>
        <w:instrText>18</w:instrText>
      </w:r>
      <w:r w:rsidRPr="00F000BE">
        <w:rPr>
          <w:bCs/>
        </w:rPr>
        <w:instrText>-</w:instrText>
      </w:r>
      <w:bookmarkEnd w:id="1"/>
      <w:r w:rsidRPr="00F000BE">
        <w:rPr>
          <w:bCs/>
        </w:rPr>
        <w:instrText>1</w:instrText>
      </w:r>
      <w:bookmarkEnd w:id="2"/>
      <w:bookmarkEnd w:id="3"/>
      <w:bookmarkEnd w:id="4"/>
      <w:r>
        <w:rPr>
          <w:bCs/>
        </w:rPr>
        <w:instrText>7</w:instrText>
      </w:r>
      <w:r w:rsidRPr="00F000BE">
        <w:instrText xml:space="preserve">" \f C \l "1" </w:instrText>
      </w:r>
      <w:r>
        <w:rPr>
          <w:b/>
        </w:rPr>
        <w:fldChar w:fldCharType="end"/>
      </w:r>
    </w:p>
    <w:p w14:paraId="2A9121FA" w14:textId="1CD12E44" w:rsidR="00DD49ED" w:rsidRDefault="00DD49ED" w:rsidP="00FB6144">
      <w:pPr>
        <w:jc w:val="center"/>
        <w:rPr>
          <w:b/>
        </w:rPr>
      </w:pPr>
    </w:p>
    <w:p w14:paraId="1FE8B442" w14:textId="65D3350F" w:rsidR="00DD49ED" w:rsidRPr="00F000BE" w:rsidRDefault="006F56BA" w:rsidP="00DD49ED">
      <w:pPr>
        <w:jc w:val="right"/>
        <w:rPr>
          <w:b/>
        </w:rPr>
      </w:pPr>
      <w:r>
        <w:rPr>
          <w:rFonts w:cs="Arial"/>
        </w:rPr>
        <w:t>August 18, 2017</w:t>
      </w:r>
    </w:p>
    <w:p w14:paraId="15B61907" w14:textId="77777777" w:rsidR="00FB6144" w:rsidRPr="00F000BE" w:rsidRDefault="00FB6144" w:rsidP="00FB6144">
      <w:pPr>
        <w:jc w:val="center"/>
      </w:pPr>
    </w:p>
    <w:p w14:paraId="05EAF0C9" w14:textId="77777777" w:rsidR="00FB6144" w:rsidRDefault="006F56BA" w:rsidP="00FB6144">
      <w:pPr>
        <w:jc w:val="both"/>
      </w:pPr>
      <w:r>
        <w:rPr>
          <w:b/>
        </w:rPr>
        <w:t>SECTION 107 – LEGAL RESPONSIBILITIES</w:t>
      </w:r>
      <w:r>
        <w:t xml:space="preserve"> of the Specifications is revised as follows:</w:t>
      </w:r>
    </w:p>
    <w:p w14:paraId="2123F293" w14:textId="77777777" w:rsidR="00FB6144" w:rsidRPr="00E358A2" w:rsidRDefault="00FB6144" w:rsidP="00FB6144">
      <w:pPr>
        <w:jc w:val="both"/>
      </w:pPr>
    </w:p>
    <w:p w14:paraId="7B1DBF49" w14:textId="61DC22DD" w:rsidR="00FB6144" w:rsidRPr="00E358A2" w:rsidRDefault="006F56BA" w:rsidP="00FB6144">
      <w:pPr>
        <w:ind w:left="360"/>
        <w:jc w:val="both"/>
        <w:rPr>
          <w:snapToGrid w:val="0"/>
        </w:rPr>
      </w:pPr>
      <w:r>
        <w:rPr>
          <w:b/>
        </w:rPr>
        <w:t>Section 107.15 – Use of Small, Women-Owned, and</w:t>
      </w:r>
      <w:r>
        <w:rPr>
          <w:b/>
        </w:rPr>
        <w:t xml:space="preserve"> Minority-Owned Business</w:t>
      </w:r>
      <w:r>
        <w:t xml:space="preserve"> is renamed </w:t>
      </w:r>
      <w:r w:rsidRPr="00F000BE">
        <w:rPr>
          <w:b/>
        </w:rPr>
        <w:t>Use of Disadvantaged Business Enterprises (DBEs)</w:t>
      </w:r>
      <w:r>
        <w:t xml:space="preserve"> and replaced with the following:</w:t>
      </w:r>
    </w:p>
    <w:p w14:paraId="3F405FD3" w14:textId="77777777" w:rsidR="00FB6144" w:rsidRPr="00F000BE" w:rsidRDefault="00FB6144" w:rsidP="00FB6144">
      <w:pPr>
        <w:ind w:left="720"/>
        <w:jc w:val="both"/>
        <w:rPr>
          <w:snapToGrid w:val="0"/>
        </w:rPr>
      </w:pPr>
    </w:p>
    <w:p w14:paraId="23A8ECF5" w14:textId="77777777" w:rsidR="00FB6144" w:rsidRPr="00815945" w:rsidRDefault="006F56BA" w:rsidP="00FB6144">
      <w:pPr>
        <w:pStyle w:val="ListParagraph"/>
        <w:numPr>
          <w:ilvl w:val="0"/>
          <w:numId w:val="12"/>
        </w:numPr>
        <w:rPr>
          <w:b/>
          <w:snapToGrid w:val="0"/>
        </w:rPr>
      </w:pPr>
      <w:r w:rsidRPr="00815945">
        <w:rPr>
          <w:b/>
          <w:snapToGrid w:val="0"/>
        </w:rPr>
        <w:t>Disadvantaged Business Enterprise (DBE) Program Requirements</w:t>
      </w:r>
    </w:p>
    <w:p w14:paraId="22973B89" w14:textId="77777777" w:rsidR="00FB6144" w:rsidRPr="00F000BE" w:rsidRDefault="00FB6144" w:rsidP="00FB6144">
      <w:pPr>
        <w:ind w:left="720"/>
        <w:jc w:val="both"/>
        <w:rPr>
          <w:b/>
          <w:snapToGrid w:val="0"/>
        </w:rPr>
      </w:pPr>
    </w:p>
    <w:p w14:paraId="1ED3CA04" w14:textId="77777777" w:rsidR="00FB6144" w:rsidRPr="00F000BE" w:rsidRDefault="006F56BA" w:rsidP="00FB6144">
      <w:pPr>
        <w:ind w:left="720"/>
        <w:jc w:val="both"/>
        <w:rPr>
          <w:snapToGrid w:val="0"/>
        </w:rPr>
      </w:pPr>
      <w:r w:rsidRPr="00F000BE">
        <w:rPr>
          <w:snapToGrid w:val="0"/>
        </w:rPr>
        <w:t>Any Contractor, subcontractor, supplier, DBE firm, and contract surety invo</w:t>
      </w:r>
      <w:r w:rsidRPr="00F000BE">
        <w:rPr>
          <w:snapToGrid w:val="0"/>
        </w:rPr>
        <w:t>lved in the performance of work on a federal-aid contract shall comply with the terms and conditions of the United States Department of Transportation (USDOT) DBE Program as the terms appear in Part 26 of the Code of Federal Regulations (49 CFR as amended)</w:t>
      </w:r>
      <w:r w:rsidRPr="00F000BE">
        <w:rPr>
          <w:snapToGrid w:val="0"/>
        </w:rPr>
        <w:t>, the USDOT DBE Program regulations; and the Virginia Department of Transportation’s (VDOT or the Department) Road and Bridge Specifications and DBE Program rules and regulations.</w:t>
      </w:r>
    </w:p>
    <w:p w14:paraId="3DF9CDBA" w14:textId="77777777" w:rsidR="00FB6144" w:rsidRPr="00F000BE" w:rsidRDefault="00FB6144" w:rsidP="00FB6144">
      <w:pPr>
        <w:ind w:left="720"/>
        <w:jc w:val="both"/>
        <w:rPr>
          <w:snapToGrid w:val="0"/>
        </w:rPr>
      </w:pPr>
    </w:p>
    <w:p w14:paraId="33561CFB" w14:textId="77777777" w:rsidR="00FB6144" w:rsidRPr="00F000BE" w:rsidRDefault="006F56BA" w:rsidP="00FB6144">
      <w:pPr>
        <w:ind w:left="720"/>
        <w:jc w:val="both"/>
        <w:rPr>
          <w:snapToGrid w:val="0"/>
        </w:rPr>
      </w:pPr>
      <w:r w:rsidRPr="00F000BE">
        <w:rPr>
          <w:snapToGrid w:val="0"/>
        </w:rPr>
        <w:t>For the purposes of this provision, Contractor is defined as the Prime Cont</w:t>
      </w:r>
      <w:r w:rsidRPr="00F000BE">
        <w:rPr>
          <w:snapToGrid w:val="0"/>
        </w:rPr>
        <w:t xml:space="preserve">ractor of </w:t>
      </w:r>
      <w:r>
        <w:rPr>
          <w:snapToGrid w:val="0"/>
        </w:rPr>
        <w:t>the Contract</w:t>
      </w:r>
      <w:r w:rsidRPr="00F000BE">
        <w:rPr>
          <w:snapToGrid w:val="0"/>
        </w:rPr>
        <w:t>; and sub</w:t>
      </w:r>
      <w:r w:rsidRPr="00F000BE">
        <w:rPr>
          <w:strike/>
          <w:snapToGrid w:val="0"/>
        </w:rPr>
        <w:t>-</w:t>
      </w:r>
      <w:r w:rsidRPr="00F000BE">
        <w:rPr>
          <w:snapToGrid w:val="0"/>
        </w:rPr>
        <w:t xml:space="preserve">contractor is defined as any DBE supplier, manufacturer, or subcontractor performing work or furnishing material, supplies or services to </w:t>
      </w:r>
      <w:r>
        <w:rPr>
          <w:snapToGrid w:val="0"/>
        </w:rPr>
        <w:t>the Contract</w:t>
      </w:r>
      <w:r w:rsidRPr="00F000BE">
        <w:rPr>
          <w:snapToGrid w:val="0"/>
        </w:rPr>
        <w:t>.  The Contractor shall physically include this same contract provision in</w:t>
      </w:r>
      <w:r w:rsidRPr="00F000BE">
        <w:rPr>
          <w:snapToGrid w:val="0"/>
        </w:rPr>
        <w:t xml:space="preserve"> every supply or work/service subcontract that it makes or executes with a subcontractor having work for which it intends to claim credit.</w:t>
      </w:r>
    </w:p>
    <w:p w14:paraId="09A29CCF" w14:textId="77777777" w:rsidR="00FB6144" w:rsidRPr="00F000BE" w:rsidRDefault="00FB6144" w:rsidP="00FB6144">
      <w:pPr>
        <w:ind w:left="720"/>
        <w:jc w:val="both"/>
        <w:rPr>
          <w:snapToGrid w:val="0"/>
        </w:rPr>
      </w:pPr>
    </w:p>
    <w:p w14:paraId="3E665996" w14:textId="77777777" w:rsidR="00FB6144" w:rsidRPr="00F000BE" w:rsidRDefault="006F56BA" w:rsidP="00FB6144">
      <w:pPr>
        <w:ind w:left="720"/>
        <w:jc w:val="both"/>
      </w:pPr>
      <w:r w:rsidRPr="00F000BE">
        <w:rPr>
          <w:snapToGrid w:val="0"/>
        </w:rPr>
        <w:t xml:space="preserve">In accordance with 49 CFR Part 26 and VDOT’s DBE Program requirements, the Contractor, for itself and for its </w:t>
      </w:r>
      <w:r w:rsidRPr="00F000BE">
        <w:rPr>
          <w:snapToGrid w:val="0"/>
        </w:rPr>
        <w:t>subcontractors and suppliers, whether certified DBE firms or not, shall commit to complying fully with the auditing, record keeping, confidentiality, cooperation, and anti-intimidation or retaliation provisions contained in those federal and state DBE Prog</w:t>
      </w:r>
      <w:r w:rsidRPr="00F000BE">
        <w:rPr>
          <w:snapToGrid w:val="0"/>
        </w:rPr>
        <w:t xml:space="preserve">ram regulations.  By </w:t>
      </w:r>
      <w:proofErr w:type="gramStart"/>
      <w:r w:rsidRPr="00F000BE">
        <w:rPr>
          <w:snapToGrid w:val="0"/>
        </w:rPr>
        <w:t>bidding</w:t>
      </w:r>
      <w:proofErr w:type="gramEnd"/>
      <w:r w:rsidRPr="00F000BE">
        <w:rPr>
          <w:snapToGrid w:val="0"/>
        </w:rPr>
        <w:t xml:space="preserve"> on this contract, and by accepting and executing this contract, the Contractor agrees to assume these contractual obligations and to bind the Contractor’s subcontractors contractually to the same at the Contractor’s expense.</w:t>
      </w:r>
    </w:p>
    <w:p w14:paraId="7787A5A8" w14:textId="77777777" w:rsidR="00FB6144" w:rsidRPr="00F000BE" w:rsidRDefault="00FB6144" w:rsidP="00FB6144">
      <w:pPr>
        <w:ind w:left="720"/>
        <w:jc w:val="both"/>
        <w:rPr>
          <w:snapToGrid w:val="0"/>
        </w:rPr>
      </w:pPr>
    </w:p>
    <w:p w14:paraId="29EB19E4" w14:textId="77777777" w:rsidR="00FB6144" w:rsidRPr="00F000BE" w:rsidRDefault="006F56BA" w:rsidP="00FB6144">
      <w:pPr>
        <w:ind w:left="720"/>
        <w:jc w:val="both"/>
      </w:pPr>
      <w:r w:rsidRPr="00F000BE">
        <w:t>T</w:t>
      </w:r>
      <w:r w:rsidRPr="00F000BE">
        <w:t xml:space="preserve">he Contractor or subcontractor shall not discriminate on the basis of race, color, </w:t>
      </w:r>
      <w:r w:rsidRPr="00DA4E80">
        <w:rPr>
          <w:rFonts w:cs="Arial"/>
        </w:rPr>
        <w:t>sex, sexual orientation, gender identity, or national origin</w:t>
      </w:r>
      <w:r w:rsidRPr="00F000BE">
        <w:t xml:space="preserve"> in the performance of this contract.  The Contractor shall carry out applicable requirements of 49 CFR Part 26 i</w:t>
      </w:r>
      <w:r w:rsidRPr="00F000BE">
        <w:t>n the award, administration, and performance of this contract.  Failure by the Contractor to carry out these requirements is a material breach of this contract, which will result in the termination of this contract or other such remedy, as VDOT deems appro</w:t>
      </w:r>
      <w:r w:rsidRPr="00F000BE">
        <w:t>priate.</w:t>
      </w:r>
    </w:p>
    <w:p w14:paraId="3B4CFD0C" w14:textId="77777777" w:rsidR="00FB6144" w:rsidRPr="00F000BE" w:rsidRDefault="00FB6144" w:rsidP="00FB6144">
      <w:pPr>
        <w:ind w:left="720"/>
        <w:jc w:val="both"/>
        <w:rPr>
          <w:snapToGrid w:val="0"/>
        </w:rPr>
      </w:pPr>
    </w:p>
    <w:p w14:paraId="13947833" w14:textId="77777777" w:rsidR="00FB6144" w:rsidRPr="00F000BE" w:rsidRDefault="006F56BA" w:rsidP="00FB6144">
      <w:pPr>
        <w:ind w:left="720"/>
        <w:jc w:val="both"/>
        <w:rPr>
          <w:snapToGrid w:val="0"/>
        </w:rPr>
      </w:pPr>
      <w:r w:rsidRPr="00F000BE">
        <w:rPr>
          <w:snapToGrid w:val="0"/>
        </w:rPr>
        <w:t>All administrative remedies noted in this provision are automatic unless the Contractor exercises the right of appeal within the required timeframe(s) specified herein.  Appeal requirements, processes, and procedures shall be in accordance with gu</w:t>
      </w:r>
      <w:r w:rsidRPr="00F000BE">
        <w:rPr>
          <w:snapToGrid w:val="0"/>
        </w:rPr>
        <w:t xml:space="preserve">idelines stated herein and current at the time of the proceedings.  Where applicable, the Department will notify the Contractor of any changes to the appeal requirements, processes, and procedures after receiving notification of the Contractor’s desire to </w:t>
      </w:r>
      <w:r w:rsidRPr="00F000BE">
        <w:rPr>
          <w:snapToGrid w:val="0"/>
        </w:rPr>
        <w:t>appeal.</w:t>
      </w:r>
    </w:p>
    <w:p w14:paraId="41D3F0E7" w14:textId="77777777" w:rsidR="00FB6144" w:rsidRPr="00F000BE" w:rsidRDefault="00FB6144" w:rsidP="00FB6144">
      <w:pPr>
        <w:ind w:left="720"/>
        <w:jc w:val="both"/>
        <w:rPr>
          <w:rStyle w:val="CommentReference"/>
        </w:rPr>
      </w:pPr>
    </w:p>
    <w:p w14:paraId="7ACDA67B" w14:textId="77777777" w:rsidR="00FB6144" w:rsidRDefault="006F56BA" w:rsidP="00FB6144">
      <w:pPr>
        <w:ind w:left="720"/>
        <w:jc w:val="both"/>
        <w:rPr>
          <w:snapToGrid w:val="0"/>
        </w:rPr>
      </w:pPr>
      <w:r w:rsidRPr="00F000BE">
        <w:rPr>
          <w:snapToGrid w:val="0"/>
        </w:rPr>
        <w:t xml:space="preserve">All time frames referenced in this provision are expressed in business days unless otherwise indicated.  Should the expiration of any deadline fall on a weekend or holiday, such deadline will automatically be extended to the next normal business </w:t>
      </w:r>
      <w:r w:rsidRPr="00F000BE">
        <w:rPr>
          <w:snapToGrid w:val="0"/>
        </w:rPr>
        <w:t>day.</w:t>
      </w:r>
    </w:p>
    <w:p w14:paraId="3E78B159" w14:textId="77777777" w:rsidR="00FB6144" w:rsidRPr="00F000BE" w:rsidRDefault="00FB6144" w:rsidP="00FB6144">
      <w:pPr>
        <w:ind w:left="720"/>
        <w:jc w:val="both"/>
        <w:rPr>
          <w:snapToGrid w:val="0"/>
        </w:rPr>
      </w:pPr>
    </w:p>
    <w:p w14:paraId="37387621" w14:textId="77777777" w:rsidR="00FB6144" w:rsidRPr="00815945" w:rsidRDefault="006F56BA" w:rsidP="00FB6144">
      <w:pPr>
        <w:pStyle w:val="ListParagraph"/>
        <w:numPr>
          <w:ilvl w:val="0"/>
          <w:numId w:val="12"/>
        </w:numPr>
        <w:jc w:val="both"/>
        <w:rPr>
          <w:b/>
          <w:snapToGrid w:val="0"/>
        </w:rPr>
      </w:pPr>
      <w:r w:rsidRPr="00815945">
        <w:rPr>
          <w:b/>
          <w:snapToGrid w:val="0"/>
        </w:rPr>
        <w:lastRenderedPageBreak/>
        <w:t>DBE Certification</w:t>
      </w:r>
    </w:p>
    <w:p w14:paraId="0C189ED1" w14:textId="77777777" w:rsidR="00FB6144" w:rsidRPr="00F000BE" w:rsidRDefault="00FB6144" w:rsidP="00FB6144">
      <w:pPr>
        <w:ind w:left="720"/>
        <w:jc w:val="both"/>
        <w:rPr>
          <w:snapToGrid w:val="0"/>
        </w:rPr>
      </w:pPr>
    </w:p>
    <w:p w14:paraId="27916EB3" w14:textId="44FDC140" w:rsidR="00FB6144" w:rsidRPr="00E80EDB" w:rsidRDefault="006F56BA" w:rsidP="00FB6144">
      <w:pPr>
        <w:ind w:left="720"/>
      </w:pPr>
      <w:r w:rsidRPr="00F000BE">
        <w:rPr>
          <w:snapToGrid w:val="0"/>
        </w:rPr>
        <w:t xml:space="preserve">The only DBE firms eligible to perform work on a federal-aid contract for DBE contract goal credit are firms certified as Disadvantaged Business Enterprises by the Virginia Department of </w:t>
      </w:r>
      <w:r>
        <w:t>Small Business and Supplier Diversity (DSBSD</w:t>
      </w:r>
      <w:r>
        <w:t xml:space="preserve">) </w:t>
      </w:r>
      <w:r w:rsidRPr="00F000BE">
        <w:rPr>
          <w:snapToGrid w:val="0"/>
        </w:rPr>
        <w:t xml:space="preserve">or </w:t>
      </w:r>
      <w:r w:rsidRPr="00F000BE">
        <w:t xml:space="preserve">the Metropolitan Washington Airports Authority (MWAA) </w:t>
      </w:r>
      <w:r w:rsidRPr="00F000BE">
        <w:rPr>
          <w:snapToGrid w:val="0"/>
        </w:rPr>
        <w:t>in accordance with federal and VDOT guidelines.  DBE firms must be certified in the specific work listed for DBE contract goal credit. A directory listing of certified DBE firms can be obtained fro</w:t>
      </w:r>
      <w:r w:rsidRPr="00F000BE">
        <w:rPr>
          <w:snapToGrid w:val="0"/>
        </w:rPr>
        <w:t xml:space="preserve">m the Virginia Department of </w:t>
      </w:r>
      <w:r>
        <w:rPr>
          <w:rStyle w:val="Hyperlink"/>
          <w:u w:val="none"/>
        </w:rPr>
        <w:t xml:space="preserve">Small Business and Supplier Diversity website: </w:t>
      </w:r>
      <w:r w:rsidRPr="00E80EDB">
        <w:rPr>
          <w:rStyle w:val="Hyperlink"/>
          <w:i/>
          <w:u w:val="none"/>
        </w:rPr>
        <w:t>www.sbsd.virginia.gov.</w:t>
      </w:r>
    </w:p>
    <w:p w14:paraId="11509A67" w14:textId="77777777" w:rsidR="00FB6144" w:rsidRPr="00F000BE" w:rsidRDefault="00FB6144" w:rsidP="00FB6144">
      <w:pPr>
        <w:ind w:left="720"/>
      </w:pPr>
    </w:p>
    <w:p w14:paraId="5C401EEF" w14:textId="77777777" w:rsidR="00FB6144" w:rsidRPr="00C335C8" w:rsidRDefault="006F56BA" w:rsidP="00FB6144">
      <w:pPr>
        <w:pStyle w:val="ListParagraph"/>
        <w:numPr>
          <w:ilvl w:val="0"/>
          <w:numId w:val="12"/>
        </w:numPr>
        <w:tabs>
          <w:tab w:val="left" w:pos="1080"/>
        </w:tabs>
        <w:jc w:val="both"/>
        <w:rPr>
          <w:b/>
        </w:rPr>
      </w:pPr>
      <w:r w:rsidRPr="00C335C8">
        <w:rPr>
          <w:b/>
          <w:snapToGrid w:val="0"/>
        </w:rPr>
        <w:t>Bank</w:t>
      </w:r>
      <w:r w:rsidRPr="00C335C8">
        <w:rPr>
          <w:b/>
        </w:rPr>
        <w:t xml:space="preserve"> Services</w:t>
      </w:r>
    </w:p>
    <w:p w14:paraId="22EF9589" w14:textId="77777777" w:rsidR="00FB6144" w:rsidRPr="00C335C8" w:rsidRDefault="00FB6144" w:rsidP="00FB6144">
      <w:pPr>
        <w:tabs>
          <w:tab w:val="left" w:pos="1080"/>
        </w:tabs>
        <w:ind w:left="720"/>
        <w:jc w:val="both"/>
        <w:rPr>
          <w:b/>
        </w:rPr>
      </w:pPr>
    </w:p>
    <w:p w14:paraId="5C487306" w14:textId="77777777" w:rsidR="00FB6144" w:rsidRPr="00C335C8" w:rsidRDefault="006F56BA" w:rsidP="00FB6144">
      <w:pPr>
        <w:tabs>
          <w:tab w:val="left" w:pos="1080"/>
        </w:tabs>
        <w:ind w:left="720"/>
        <w:jc w:val="both"/>
      </w:pPr>
      <w:r w:rsidRPr="00C335C8">
        <w:t>The Contractor and each subcontractor are encouraged to use the services of banks owned and controlled by socially and economically disadvant</w:t>
      </w:r>
      <w:r w:rsidRPr="00C335C8">
        <w:t xml:space="preserve">aged individuals.  Such banking services and the fees charged for services typically will not be eligible for DBE Program contract goal credit.  Such information is available from the VDOT’s Internet Civil Rights Division website:   </w:t>
      </w:r>
    </w:p>
    <w:p w14:paraId="6271873E" w14:textId="77777777" w:rsidR="00FB6144" w:rsidRPr="00F000BE" w:rsidRDefault="006F56BA" w:rsidP="00FB6144">
      <w:pPr>
        <w:tabs>
          <w:tab w:val="left" w:pos="1080"/>
        </w:tabs>
        <w:ind w:left="720"/>
        <w:jc w:val="both"/>
        <w:rPr>
          <w:i/>
        </w:rPr>
      </w:pPr>
      <w:r w:rsidRPr="00C335C8">
        <w:rPr>
          <w:rStyle w:val="Hyperlink"/>
          <w:i/>
        </w:rPr>
        <w:t xml:space="preserve"> </w:t>
      </w:r>
      <w:hyperlink r:id="rId11" w:history="1">
        <w:r>
          <w:rPr>
            <w:rStyle w:val="Hyperlink"/>
          </w:rPr>
          <w:t>http://www.virginiadot.org/business/resources/Civil_Rights/VDOT_DBE_Program_Plan.pdf</w:t>
        </w:r>
      </w:hyperlink>
    </w:p>
    <w:p w14:paraId="385E3C1A" w14:textId="77777777" w:rsidR="00FB6144" w:rsidRPr="00F000BE" w:rsidRDefault="00FB6144" w:rsidP="00FB6144">
      <w:pPr>
        <w:ind w:left="720"/>
        <w:jc w:val="both"/>
        <w:rPr>
          <w:snapToGrid w:val="0"/>
        </w:rPr>
      </w:pPr>
    </w:p>
    <w:p w14:paraId="12347E7A" w14:textId="77777777" w:rsidR="00FB6144" w:rsidRPr="00815945" w:rsidRDefault="006F56BA" w:rsidP="00FB6144">
      <w:pPr>
        <w:pStyle w:val="ListParagraph"/>
        <w:numPr>
          <w:ilvl w:val="0"/>
          <w:numId w:val="12"/>
        </w:numPr>
        <w:jc w:val="both"/>
        <w:rPr>
          <w:snapToGrid w:val="0"/>
        </w:rPr>
      </w:pPr>
      <w:r w:rsidRPr="00815945">
        <w:rPr>
          <w:b/>
        </w:rPr>
        <w:t>DBE Program-Related Certifications Made by Bidders\Contractors</w:t>
      </w:r>
    </w:p>
    <w:p w14:paraId="02E4B74F" w14:textId="77777777" w:rsidR="00FB6144" w:rsidRPr="00F000BE" w:rsidRDefault="00FB6144" w:rsidP="00FB6144">
      <w:pPr>
        <w:ind w:left="720"/>
        <w:jc w:val="both"/>
        <w:rPr>
          <w:snapToGrid w:val="0"/>
        </w:rPr>
      </w:pPr>
    </w:p>
    <w:p w14:paraId="1B5912E4" w14:textId="77777777" w:rsidR="00FB6144" w:rsidRPr="00F000BE" w:rsidRDefault="006F56BA" w:rsidP="00FB6144">
      <w:pPr>
        <w:ind w:left="720"/>
        <w:jc w:val="both"/>
        <w:rPr>
          <w:snapToGrid w:val="0"/>
        </w:rPr>
      </w:pPr>
      <w:r w:rsidRPr="00F000BE">
        <w:rPr>
          <w:snapToGrid w:val="0"/>
        </w:rPr>
        <w:t>By submitting a bid and by</w:t>
      </w:r>
      <w:r w:rsidRPr="00F000BE">
        <w:rPr>
          <w:snapToGrid w:val="0"/>
        </w:rPr>
        <w:t xml:space="preserve"> entering into any contract on the basis of that bid, the bidder/Contractor certifies to each of the following DBE Program-related conditions and assurances:</w:t>
      </w:r>
    </w:p>
    <w:p w14:paraId="4336695B" w14:textId="77777777" w:rsidR="00FB6144" w:rsidRPr="00F000BE" w:rsidRDefault="00FB6144" w:rsidP="00FB6144">
      <w:pPr>
        <w:ind w:left="1440" w:hanging="360"/>
        <w:jc w:val="both"/>
        <w:rPr>
          <w:snapToGrid w:val="0"/>
        </w:rPr>
      </w:pPr>
    </w:p>
    <w:p w14:paraId="19749F34" w14:textId="77777777" w:rsidR="00FB6144" w:rsidRPr="00F000BE" w:rsidRDefault="006F56BA" w:rsidP="00FB6144">
      <w:pPr>
        <w:numPr>
          <w:ilvl w:val="1"/>
          <w:numId w:val="12"/>
        </w:numPr>
        <w:jc w:val="both"/>
      </w:pPr>
      <w:r w:rsidRPr="00F000BE">
        <w:t xml:space="preserve">That the management and bidding officers of its firm agree to comply with the bidding and project construction and administration obligations of the USDOT DBE Program requirements and regulations of </w:t>
      </w:r>
      <w:r w:rsidRPr="00F000BE">
        <w:rPr>
          <w:snapToGrid w:val="0"/>
        </w:rPr>
        <w:t>49 CFR Part 26 as amended, and VDOT’s Road and Bridge Spe</w:t>
      </w:r>
      <w:r w:rsidRPr="00F000BE">
        <w:rPr>
          <w:snapToGrid w:val="0"/>
        </w:rPr>
        <w:t>cifications and DBE Program requirements and regulations.</w:t>
      </w:r>
    </w:p>
    <w:p w14:paraId="2A0C4AE2" w14:textId="77777777" w:rsidR="00FB6144" w:rsidRPr="00F000BE" w:rsidRDefault="00FB6144" w:rsidP="00FB6144">
      <w:pPr>
        <w:ind w:left="1440" w:hanging="360"/>
        <w:jc w:val="both"/>
      </w:pPr>
    </w:p>
    <w:p w14:paraId="34A19466" w14:textId="77777777" w:rsidR="00FB6144" w:rsidRPr="00F000BE" w:rsidRDefault="006F56BA" w:rsidP="00FB6144">
      <w:pPr>
        <w:numPr>
          <w:ilvl w:val="1"/>
          <w:numId w:val="12"/>
        </w:numPr>
        <w:jc w:val="both"/>
      </w:pPr>
      <w:r w:rsidRPr="00F000BE">
        <w:t xml:space="preserve">Under penalty of perjury and other applicable penal law that it has complied with the DBE Program requirements in submitting the bid, and shall comply fully with these requirements in the bidding, </w:t>
      </w:r>
      <w:r w:rsidRPr="00F000BE">
        <w:t xml:space="preserve">award, and execution of </w:t>
      </w:r>
      <w:r>
        <w:t>the Contract</w:t>
      </w:r>
      <w:r w:rsidRPr="00F000BE">
        <w:t>.</w:t>
      </w:r>
    </w:p>
    <w:p w14:paraId="35C6CDCB" w14:textId="77777777" w:rsidR="00FB6144" w:rsidRPr="00F000BE" w:rsidRDefault="00FB6144" w:rsidP="00FB6144">
      <w:pPr>
        <w:ind w:left="1440" w:hanging="360"/>
        <w:jc w:val="both"/>
      </w:pPr>
    </w:p>
    <w:p w14:paraId="26D1BC30" w14:textId="77777777" w:rsidR="00FB6144" w:rsidRPr="00F000BE" w:rsidRDefault="006F56BA" w:rsidP="00FB6144">
      <w:pPr>
        <w:numPr>
          <w:ilvl w:val="1"/>
          <w:numId w:val="12"/>
        </w:numPr>
        <w:jc w:val="both"/>
      </w:pPr>
      <w:r w:rsidRPr="00F000BE">
        <w:t xml:space="preserve">To ensure that DBE firms have been given full and fair opportunity to participate in the performance of </w:t>
      </w:r>
      <w:r>
        <w:t>the Contract</w:t>
      </w:r>
      <w:r w:rsidRPr="00F000BE">
        <w:t>.  The bidder certifies that all reasonable steps were, and will be, taken to ensure that DBE firms h</w:t>
      </w:r>
      <w:r w:rsidRPr="00F000BE">
        <w:t xml:space="preserve">ad, and will have, an opportunity to compete for and perform work on </w:t>
      </w:r>
      <w:r>
        <w:t>the Contract</w:t>
      </w:r>
      <w:r w:rsidRPr="00F000BE">
        <w:t xml:space="preserve">.  The bidder further certifies that the bidder shall not discriminate on the basis of race, color, age, </w:t>
      </w:r>
      <w:r w:rsidRPr="00E80EDB">
        <w:rPr>
          <w:rFonts w:cs="Arial"/>
        </w:rPr>
        <w:t>sex, sexual orientation, gender identity, or national origin</w:t>
      </w:r>
      <w:r w:rsidRPr="00F000BE">
        <w:t xml:space="preserve"> in the performance of </w:t>
      </w:r>
      <w:r>
        <w:t>the Contract</w:t>
      </w:r>
      <w:r w:rsidRPr="00F000BE">
        <w:t xml:space="preserve"> or in the award of any subcontract. Any agreement between a bidder and a DBE whereby the DBE promises not to provide quotations for performance of work to other bidders is prohibited.</w:t>
      </w:r>
    </w:p>
    <w:p w14:paraId="572D564D" w14:textId="77777777" w:rsidR="00FB6144" w:rsidRPr="00F000BE" w:rsidRDefault="00FB6144" w:rsidP="00FB6144">
      <w:pPr>
        <w:ind w:left="1440"/>
        <w:jc w:val="both"/>
      </w:pPr>
    </w:p>
    <w:p w14:paraId="0154B226" w14:textId="77777777" w:rsidR="00FB6144" w:rsidRPr="00F000BE" w:rsidRDefault="006F56BA" w:rsidP="00FB6144">
      <w:pPr>
        <w:numPr>
          <w:ilvl w:val="1"/>
          <w:numId w:val="12"/>
        </w:numPr>
        <w:jc w:val="both"/>
      </w:pPr>
      <w:r w:rsidRPr="00F000BE">
        <w:t>As a bidder, good faith efforts wer</w:t>
      </w:r>
      <w:r w:rsidRPr="00F000BE">
        <w:t>e made to obtain DBE participation in the proposed contract at or above the goal for DBE participation established by VDOT.  It has submitted as a part of its bid true, accurate, complete, and detailed documentation of the good faith efforts it performed t</w:t>
      </w:r>
      <w:r w:rsidRPr="00F000BE">
        <w:t xml:space="preserve">o meet </w:t>
      </w:r>
      <w:r>
        <w:t>the Contract</w:t>
      </w:r>
      <w:r w:rsidRPr="00F000BE">
        <w:t xml:space="preserve"> goal for DBE participation. The bidder, by signing and submitting its bid, certifies the DBE participation information submitted within the stated time thereafter is true, correct, and complete, and that the information provided include</w:t>
      </w:r>
      <w:r w:rsidRPr="00F000BE">
        <w:t xml:space="preserve">s the names of all DBE firms that will participate in </w:t>
      </w:r>
      <w:r>
        <w:t>the Contract</w:t>
      </w:r>
      <w:r w:rsidRPr="00F000BE">
        <w:t>, the specific line item(s) that each listed DBE firm will perform, and the creditable dollar amounts of the participation of each listed DBE.  The specific line item must reference the VDOT</w:t>
      </w:r>
      <w:r w:rsidRPr="00F000BE">
        <w:t xml:space="preserve"> line number and item number contained in the proposal.  </w:t>
      </w:r>
    </w:p>
    <w:p w14:paraId="29431E0B" w14:textId="77777777" w:rsidR="00FB6144" w:rsidRPr="00F000BE" w:rsidRDefault="00FB6144" w:rsidP="00FB6144">
      <w:pPr>
        <w:ind w:left="1080"/>
        <w:jc w:val="both"/>
      </w:pPr>
    </w:p>
    <w:p w14:paraId="0EE4555B" w14:textId="77777777" w:rsidR="00FB6144" w:rsidRPr="00F000BE" w:rsidRDefault="006F56BA" w:rsidP="00FB6144">
      <w:pPr>
        <w:numPr>
          <w:ilvl w:val="1"/>
          <w:numId w:val="12"/>
        </w:numPr>
        <w:jc w:val="both"/>
      </w:pPr>
      <w:r w:rsidRPr="00F000BE">
        <w:t xml:space="preserve">The bidder further certifies, by signing its bid, it has committed to use each DBE firm listed for the specific work item shown to meet </w:t>
      </w:r>
      <w:r>
        <w:t>the Contract</w:t>
      </w:r>
      <w:r w:rsidRPr="00F000BE">
        <w:t xml:space="preserve"> goal for DBE participation.  Award of </w:t>
      </w:r>
      <w:r>
        <w:t>the Contra</w:t>
      </w:r>
      <w:r>
        <w:t>ct</w:t>
      </w:r>
      <w:r w:rsidRPr="00F000BE">
        <w:t xml:space="preserve"> will be conditioned upon meeting these and other listed requirements of 49 CFR </w:t>
      </w:r>
      <w:r w:rsidRPr="00F000BE">
        <w:lastRenderedPageBreak/>
        <w:t>Part 26.53 and the contract documents. By signing the bid, the bidder certifies on work that it proposes to sublet; it has made good faith efforts to seek out and consider DB</w:t>
      </w:r>
      <w:r w:rsidRPr="00F000BE">
        <w:t xml:space="preserve">Es as potential subcontractors.  The bidder shall contact DBEs to solicit their interest, capability, and prices in sufficient time to allow them to respond effectively, and shall retain on file proper documentation to substantiate its good faith efforts. </w:t>
      </w:r>
      <w:r w:rsidRPr="00F000BE">
        <w:t xml:space="preserve">Award of </w:t>
      </w:r>
      <w:r>
        <w:t>the Contract</w:t>
      </w:r>
      <w:r w:rsidRPr="00F000BE">
        <w:t xml:space="preserve"> will be conditioned upon meeting these and other listed requirements of 49 CFR Part 26.53 and the contract documents.</w:t>
      </w:r>
    </w:p>
    <w:p w14:paraId="68AB3C5D" w14:textId="77777777" w:rsidR="00FB6144" w:rsidRPr="00F000BE" w:rsidRDefault="00FB6144" w:rsidP="00FB6144">
      <w:pPr>
        <w:ind w:left="1440"/>
        <w:jc w:val="both"/>
      </w:pPr>
    </w:p>
    <w:p w14:paraId="0C37BC1A" w14:textId="77777777" w:rsidR="00FB6144" w:rsidRPr="00F000BE" w:rsidRDefault="006F56BA" w:rsidP="00FB6144">
      <w:pPr>
        <w:numPr>
          <w:ilvl w:val="1"/>
          <w:numId w:val="12"/>
        </w:numPr>
        <w:jc w:val="both"/>
      </w:pPr>
      <w:r w:rsidRPr="00F000BE">
        <w:t xml:space="preserve">Once awarded </w:t>
      </w:r>
      <w:r>
        <w:t>the Contract</w:t>
      </w:r>
      <w:r w:rsidRPr="00F000BE">
        <w:t>, the Contractor shall make good faith efforts to utilize DBE firms to perform work design</w:t>
      </w:r>
      <w:r w:rsidRPr="00F000BE">
        <w:t xml:space="preserve">ated to be performed by DBEs at or above the amount or percentage of the dollar value specified in the bidding documents.  Further, the Contractor understands it shall not unilaterally terminate, substitute for, or replace any DBE firm that was designated </w:t>
      </w:r>
      <w:r w:rsidRPr="00F000BE">
        <w:t>in the executed contract in whole or in part with another DBE, any non-DBE firm, or with the Contractor's own forces or those of an affiliate of the Contractor without the prior written consent of VDOT as set out within the requirements of this provision.</w:t>
      </w:r>
    </w:p>
    <w:p w14:paraId="5137FA6D" w14:textId="77777777" w:rsidR="00FB6144" w:rsidRPr="00F000BE" w:rsidRDefault="00FB6144" w:rsidP="00FB6144">
      <w:pPr>
        <w:ind w:left="1440"/>
        <w:jc w:val="both"/>
      </w:pPr>
    </w:p>
    <w:p w14:paraId="6B8EFE4A" w14:textId="77777777" w:rsidR="00FB6144" w:rsidRPr="00F000BE" w:rsidRDefault="006F56BA" w:rsidP="00FB6144">
      <w:pPr>
        <w:numPr>
          <w:ilvl w:val="1"/>
          <w:numId w:val="12"/>
        </w:numPr>
        <w:jc w:val="both"/>
      </w:pPr>
      <w:r w:rsidRPr="00F000BE">
        <w:t xml:space="preserve">Once awarded the  contract, the Contractor shall designate and make known to the Department a liaison officer who is assigned the responsibility of administering and promoting an active and inclusive DBE program as required by </w:t>
      </w:r>
      <w:r w:rsidRPr="00F000BE">
        <w:rPr>
          <w:snapToGrid w:val="0"/>
        </w:rPr>
        <w:t xml:space="preserve">49 CFR Part 26 </w:t>
      </w:r>
      <w:r w:rsidRPr="00F000BE">
        <w:t>for DBEs.  Th</w:t>
      </w:r>
      <w:r w:rsidRPr="00F000BE">
        <w:t>e designation and identity of this officer need be submitted only once by the Contractor during any twelve (12) month period at the preconstruction conference for the first contract the Contractor has been awarded during that reporting period.  The Departm</w:t>
      </w:r>
      <w:r w:rsidRPr="00F000BE">
        <w:t>ent will post such information for informational and administrative purposes at VDOT’s Internet Civil Rights Division website.</w:t>
      </w:r>
    </w:p>
    <w:p w14:paraId="67BE3CCA" w14:textId="77777777" w:rsidR="00FB6144" w:rsidRPr="00F000BE" w:rsidRDefault="00FB6144" w:rsidP="00FB6144">
      <w:pPr>
        <w:ind w:left="1440"/>
        <w:jc w:val="both"/>
      </w:pPr>
    </w:p>
    <w:p w14:paraId="082EFE68" w14:textId="77777777" w:rsidR="00FB6144" w:rsidRPr="00F000BE" w:rsidRDefault="006F56BA" w:rsidP="00FB6144">
      <w:pPr>
        <w:numPr>
          <w:ilvl w:val="1"/>
          <w:numId w:val="12"/>
        </w:numPr>
        <w:autoSpaceDE w:val="0"/>
        <w:autoSpaceDN w:val="0"/>
        <w:adjustRightInd w:val="0"/>
        <w:spacing w:line="240" w:lineRule="atLeast"/>
        <w:jc w:val="both"/>
      </w:pPr>
      <w:r w:rsidRPr="00F000BE">
        <w:t xml:space="preserve">Once awarded </w:t>
      </w:r>
      <w:r>
        <w:t>the Contract</w:t>
      </w:r>
      <w:r w:rsidRPr="00F000BE">
        <w:t>, the Contractor shall comply fully with all regulatory and contractual requirements of the USDOT DBE P</w:t>
      </w:r>
      <w:r w:rsidRPr="00F000BE">
        <w:t xml:space="preserve">rogram, and that each DBE firm participating in </w:t>
      </w:r>
      <w:r>
        <w:t>the Contract</w:t>
      </w:r>
      <w:r w:rsidRPr="00F000BE">
        <w:t xml:space="preserve"> shall fully perform the designated work items with the DBE’s own forces and equipment under the DBE’s direct supervision, control, and management.  Where a contract exists and where the Contracto</w:t>
      </w:r>
      <w:r w:rsidRPr="00F000BE">
        <w:t xml:space="preserve">r, DBE firm, or any other firm retained by the Contractor has failed to comply with federal or VDOT DBE Program regulations and/or their requirements on that contract, VDOT has the authority and discretion to determine the extent to which the DBE contract </w:t>
      </w:r>
      <w:r w:rsidRPr="00F000BE">
        <w:t xml:space="preserve">regulations and\or requirements have not been met, and will assess against the Contractor any remedies available at law or provided in </w:t>
      </w:r>
      <w:r>
        <w:t>the Contract</w:t>
      </w:r>
      <w:r w:rsidRPr="00F000BE">
        <w:t xml:space="preserve"> in the event of such a contract breach.</w:t>
      </w:r>
    </w:p>
    <w:p w14:paraId="0DE29A46" w14:textId="77777777" w:rsidR="00FB6144" w:rsidRPr="00F000BE" w:rsidRDefault="00FB6144" w:rsidP="00FB6144">
      <w:pPr>
        <w:ind w:left="1440" w:hanging="360"/>
        <w:jc w:val="both"/>
      </w:pPr>
    </w:p>
    <w:p w14:paraId="494535A3" w14:textId="77777777" w:rsidR="00FB6144" w:rsidRPr="00F000BE" w:rsidRDefault="006F56BA" w:rsidP="00FB6144">
      <w:pPr>
        <w:numPr>
          <w:ilvl w:val="1"/>
          <w:numId w:val="12"/>
        </w:numPr>
        <w:jc w:val="both"/>
        <w:rPr>
          <w:rFonts w:cs="Arial"/>
        </w:rPr>
      </w:pPr>
      <w:r w:rsidRPr="00F000BE">
        <w:rPr>
          <w:rFonts w:cs="Arial"/>
        </w:rPr>
        <w:t>In the event a bond surety assumes the completion of work, if for a</w:t>
      </w:r>
      <w:r w:rsidRPr="00F000BE">
        <w:rPr>
          <w:rFonts w:cs="Arial"/>
        </w:rPr>
        <w:t>ny reason VDOT has terminated the prime Contractor, the surety shall be obligated to meet the same DBE contract terms and requirements as were required of the original prime Contractor in accordance with the requirements of this specification.</w:t>
      </w:r>
    </w:p>
    <w:p w14:paraId="7F278F9E" w14:textId="77777777" w:rsidR="00FB6144" w:rsidRPr="00F000BE" w:rsidRDefault="00FB6144" w:rsidP="00FB6144">
      <w:pPr>
        <w:ind w:left="1440" w:hanging="360"/>
        <w:jc w:val="both"/>
      </w:pPr>
    </w:p>
    <w:p w14:paraId="2BBDA5B3" w14:textId="77777777" w:rsidR="00FB6144" w:rsidRPr="00815945" w:rsidRDefault="006F56BA" w:rsidP="00FB6144">
      <w:pPr>
        <w:pStyle w:val="ListParagraph"/>
        <w:numPr>
          <w:ilvl w:val="0"/>
          <w:numId w:val="12"/>
        </w:numPr>
        <w:tabs>
          <w:tab w:val="left" w:pos="1080"/>
        </w:tabs>
        <w:jc w:val="both"/>
        <w:rPr>
          <w:b/>
          <w:snapToGrid w:val="0"/>
        </w:rPr>
      </w:pPr>
      <w:r w:rsidRPr="00815945">
        <w:rPr>
          <w:b/>
          <w:snapToGrid w:val="0"/>
        </w:rPr>
        <w:t>Disqualification of Bidder</w:t>
      </w:r>
    </w:p>
    <w:p w14:paraId="258A7CE6" w14:textId="77777777" w:rsidR="00FB6144" w:rsidRPr="00F000BE" w:rsidRDefault="00FB6144" w:rsidP="00FB6144">
      <w:pPr>
        <w:ind w:left="720"/>
        <w:jc w:val="both"/>
        <w:rPr>
          <w:b/>
          <w:snapToGrid w:val="0"/>
        </w:rPr>
      </w:pPr>
    </w:p>
    <w:p w14:paraId="4CE65839" w14:textId="77777777" w:rsidR="00FB6144" w:rsidRPr="00F000BE" w:rsidRDefault="006F56BA" w:rsidP="00FB6144">
      <w:pPr>
        <w:ind w:left="720"/>
        <w:jc w:val="both"/>
        <w:rPr>
          <w:snapToGrid w:val="0"/>
        </w:rPr>
      </w:pPr>
      <w:r w:rsidRPr="00F000BE">
        <w:rPr>
          <w:snapToGrid w:val="0"/>
        </w:rPr>
        <w:t xml:space="preserve">Bidders may be disqualified from bidding for failure to comply with the requirements of this Special Provision, </w:t>
      </w:r>
      <w:r>
        <w:rPr>
          <w:snapToGrid w:val="0"/>
        </w:rPr>
        <w:t>the Contract</w:t>
      </w:r>
      <w:r w:rsidRPr="00F000BE">
        <w:rPr>
          <w:snapToGrid w:val="0"/>
        </w:rPr>
        <w:t xml:space="preserve"> specifications, and VDOT Road and Bridge Specifications.</w:t>
      </w:r>
    </w:p>
    <w:p w14:paraId="3BD3664A" w14:textId="77777777" w:rsidR="00FB6144" w:rsidRPr="00F000BE" w:rsidRDefault="00FB6144" w:rsidP="00FB6144">
      <w:pPr>
        <w:ind w:left="720"/>
        <w:jc w:val="both"/>
        <w:rPr>
          <w:b/>
          <w:snapToGrid w:val="0"/>
        </w:rPr>
      </w:pPr>
    </w:p>
    <w:p w14:paraId="3807E7B8" w14:textId="77777777" w:rsidR="00FB6144" w:rsidRPr="00815945" w:rsidRDefault="006F56BA" w:rsidP="00FB6144">
      <w:pPr>
        <w:pStyle w:val="ListParagraph"/>
        <w:numPr>
          <w:ilvl w:val="0"/>
          <w:numId w:val="12"/>
        </w:numPr>
        <w:tabs>
          <w:tab w:val="left" w:pos="1080"/>
        </w:tabs>
        <w:jc w:val="both"/>
        <w:rPr>
          <w:rFonts w:cs="Arial"/>
          <w:b/>
          <w:bCs/>
        </w:rPr>
      </w:pPr>
      <w:r w:rsidRPr="00815945">
        <w:rPr>
          <w:b/>
        </w:rPr>
        <w:br w:type="page"/>
      </w:r>
      <w:r w:rsidRPr="00815945">
        <w:rPr>
          <w:rFonts w:cs="Arial"/>
          <w:b/>
          <w:bCs/>
        </w:rPr>
        <w:lastRenderedPageBreak/>
        <w:t>Bidding Procedures</w:t>
      </w:r>
    </w:p>
    <w:p w14:paraId="22515896" w14:textId="77777777" w:rsidR="00FB6144" w:rsidRPr="00F000BE" w:rsidRDefault="00FB6144" w:rsidP="00FB6144">
      <w:pPr>
        <w:ind w:left="720"/>
        <w:jc w:val="both"/>
      </w:pPr>
    </w:p>
    <w:p w14:paraId="25C024B2" w14:textId="77777777" w:rsidR="00FB6144" w:rsidRPr="00F000BE" w:rsidRDefault="006F56BA" w:rsidP="00FB6144">
      <w:pPr>
        <w:ind w:left="720"/>
        <w:jc w:val="both"/>
        <w:rPr>
          <w:b/>
        </w:rPr>
      </w:pPr>
      <w:r w:rsidRPr="00F000BE">
        <w:t>The following bidding pr</w:t>
      </w:r>
      <w:r w:rsidRPr="00F000BE">
        <w:t xml:space="preserve">ocedures shall apply to </w:t>
      </w:r>
      <w:r>
        <w:t>the Contract</w:t>
      </w:r>
      <w:r w:rsidRPr="00F000BE">
        <w:t xml:space="preserve"> for DBE Program compliance purposes:</w:t>
      </w:r>
      <w:r w:rsidRPr="00F000BE">
        <w:rPr>
          <w:b/>
        </w:rPr>
        <w:t xml:space="preserve"> </w:t>
      </w:r>
    </w:p>
    <w:p w14:paraId="574C8EF7" w14:textId="77777777" w:rsidR="00FB6144" w:rsidRPr="00F000BE" w:rsidRDefault="00FB6144" w:rsidP="00FB6144">
      <w:pPr>
        <w:ind w:left="1080"/>
        <w:jc w:val="both"/>
        <w:rPr>
          <w:b/>
        </w:rPr>
      </w:pPr>
    </w:p>
    <w:p w14:paraId="2F156C74" w14:textId="77777777" w:rsidR="00FB6144" w:rsidRPr="009E6D58" w:rsidRDefault="006F56BA" w:rsidP="00FB6144">
      <w:pPr>
        <w:pStyle w:val="ListParagraph"/>
        <w:numPr>
          <w:ilvl w:val="1"/>
          <w:numId w:val="12"/>
        </w:numPr>
        <w:tabs>
          <w:tab w:val="left" w:pos="1440"/>
        </w:tabs>
        <w:jc w:val="both"/>
        <w:rPr>
          <w:b/>
        </w:rPr>
      </w:pPr>
      <w:r w:rsidRPr="009E6D58">
        <w:rPr>
          <w:b/>
        </w:rPr>
        <w:t xml:space="preserve">Contract Goal, Good Faith Efforts Specified: </w:t>
      </w:r>
      <w:r w:rsidRPr="00F000BE">
        <w:t xml:space="preserve"> All bidders evidencing the attainment of DBE goal commitment equal to or greater than the required DBE goal established for the project must submit completed Form C-111, Minimum DBE Requirements, and Form C-48, Subcontractor/Supplier Solicitation and Util</w:t>
      </w:r>
      <w:r w:rsidRPr="00F000BE">
        <w:t>ization,  as a part of the bid documents.</w:t>
      </w:r>
    </w:p>
    <w:p w14:paraId="63EE65FF" w14:textId="77777777" w:rsidR="00FB6144" w:rsidRPr="009E6D58" w:rsidRDefault="00FB6144" w:rsidP="00FB6144">
      <w:pPr>
        <w:pStyle w:val="ListParagraph"/>
        <w:tabs>
          <w:tab w:val="left" w:pos="1440"/>
        </w:tabs>
        <w:ind w:left="1080"/>
        <w:jc w:val="both"/>
        <w:rPr>
          <w:b/>
        </w:rPr>
      </w:pPr>
    </w:p>
    <w:p w14:paraId="4BCBC8E5" w14:textId="77777777" w:rsidR="00FB6144" w:rsidRPr="00F000BE" w:rsidRDefault="006F56BA" w:rsidP="00FB6144">
      <w:pPr>
        <w:tabs>
          <w:tab w:val="left" w:pos="1440"/>
        </w:tabs>
        <w:ind w:left="1080"/>
        <w:jc w:val="both"/>
      </w:pPr>
      <w:r w:rsidRPr="00F000BE">
        <w:t>Form C-111 may be submitted electronically or may be faxed to the Department, but in no case shall the bidder’s Form C-111 be received later than 10:00 a.m. the next business day after the time stated in the bid p</w:t>
      </w:r>
      <w:r w:rsidRPr="00F000BE">
        <w:t xml:space="preserve">roposal for the receipt of bids.  Form C-48 must be received within ten (10) business days after the bid opening. </w:t>
      </w:r>
    </w:p>
    <w:p w14:paraId="63E6CA30" w14:textId="77777777" w:rsidR="00FB6144" w:rsidRPr="00F000BE" w:rsidRDefault="00FB6144" w:rsidP="00FB6144">
      <w:pPr>
        <w:ind w:left="1080"/>
        <w:jc w:val="both"/>
      </w:pPr>
    </w:p>
    <w:p w14:paraId="27E77AD7" w14:textId="77777777" w:rsidR="00FB6144" w:rsidRPr="00F000BE" w:rsidRDefault="006F56BA" w:rsidP="00FB6144">
      <w:pPr>
        <w:ind w:left="1080"/>
        <w:jc w:val="both"/>
      </w:pPr>
      <w:r w:rsidRPr="00F000BE">
        <w:t>If, at the time of submitting its bid, the bidder knowingly cannot meet or exceed the required DBE contract goal, it shall submit Form C-111</w:t>
      </w:r>
      <w:r w:rsidRPr="00F000BE">
        <w:t xml:space="preserve"> exhibiting the DBE participation it commits to attain as a part of its bid documents.  The bidder shall then submit Form C-49, DBE Good Faith Efforts Documentation, within two (2) business days after the bid opening.</w:t>
      </w:r>
    </w:p>
    <w:p w14:paraId="7660570E" w14:textId="77777777" w:rsidR="00FB6144" w:rsidRPr="00F000BE" w:rsidRDefault="00FB6144" w:rsidP="00FB6144">
      <w:pPr>
        <w:ind w:left="1080"/>
        <w:jc w:val="both"/>
      </w:pPr>
    </w:p>
    <w:p w14:paraId="68F8A2D4" w14:textId="77777777" w:rsidR="00FB6144" w:rsidRPr="00F000BE" w:rsidRDefault="006F56BA" w:rsidP="00FB6144">
      <w:pPr>
        <w:ind w:left="1080"/>
        <w:jc w:val="both"/>
      </w:pPr>
      <w:r w:rsidRPr="00F000BE">
        <w:t>The lowest responsive and responsible</w:t>
      </w:r>
      <w:r w:rsidRPr="00F000BE">
        <w:t xml:space="preserve"> bidder must submit its properly executed Form C-112, Certification of Binding Agreement, within three (3) business days after the bids are received. DBEs bidding as prime contractors are not required to submit Form C-112 unless they are utilizing other DB</w:t>
      </w:r>
      <w:r w:rsidRPr="00F000BE">
        <w:t xml:space="preserve">Es as subcontractors. </w:t>
      </w:r>
    </w:p>
    <w:p w14:paraId="258B8AB1" w14:textId="77777777" w:rsidR="00FB6144" w:rsidRPr="00F000BE" w:rsidRDefault="00FB6144" w:rsidP="00FB6144">
      <w:pPr>
        <w:ind w:left="1080"/>
        <w:jc w:val="both"/>
      </w:pPr>
    </w:p>
    <w:p w14:paraId="75545C73" w14:textId="77777777" w:rsidR="00FB6144" w:rsidRPr="00F000BE" w:rsidRDefault="006F56BA" w:rsidP="00FB6144">
      <w:pPr>
        <w:ind w:left="1080"/>
        <w:jc w:val="both"/>
      </w:pPr>
      <w:r w:rsidRPr="00F000BE">
        <w:t>If, after review of the apparent lowest bid, VDOT determines the DBE requirements have not been met, the apparent lowest successful bidder must submit Form C-49, DBE Good Faith Efforts Documentation, which must be received by the Co</w:t>
      </w:r>
      <w:r w:rsidRPr="00F000BE">
        <w:t>ntract Engineer within two (2) business days after official notification of such failure to meet the aforementioned DBE requirements.</w:t>
      </w:r>
    </w:p>
    <w:p w14:paraId="406B91CD" w14:textId="77777777" w:rsidR="00FB6144" w:rsidRPr="00F000BE" w:rsidRDefault="00FB6144" w:rsidP="00FB6144">
      <w:pPr>
        <w:ind w:left="1080"/>
        <w:jc w:val="both"/>
      </w:pPr>
    </w:p>
    <w:p w14:paraId="79C54035" w14:textId="77777777" w:rsidR="00FB6144" w:rsidRPr="00F000BE" w:rsidRDefault="006F56BA" w:rsidP="00FB6144">
      <w:pPr>
        <w:ind w:left="1080"/>
        <w:jc w:val="both"/>
      </w:pPr>
      <w:r w:rsidRPr="00F000BE">
        <w:t>Forms C-48, C-49, C-111, and C-112 can be obtained from the VDOT website at:</w:t>
      </w:r>
    </w:p>
    <w:p w14:paraId="1F3D302F" w14:textId="77777777" w:rsidR="00FB6144" w:rsidRPr="009E6D58" w:rsidRDefault="006F56BA" w:rsidP="00FB6144">
      <w:pPr>
        <w:ind w:left="1080"/>
        <w:jc w:val="both"/>
        <w:rPr>
          <w:i/>
          <w:color w:val="0000FF"/>
        </w:rPr>
      </w:pPr>
      <w:hyperlink r:id="rId12" w:history="1">
        <w:r w:rsidRPr="009E6D58">
          <w:rPr>
            <w:rStyle w:val="Hyperlink"/>
            <w:i/>
          </w:rPr>
          <w:t>http://vdotforms.vdot.virginia.gov/</w:t>
        </w:r>
      </w:hyperlink>
    </w:p>
    <w:p w14:paraId="096E4961" w14:textId="77777777" w:rsidR="00FB6144" w:rsidRPr="009E6D58" w:rsidRDefault="00FB6144" w:rsidP="00FB6144">
      <w:pPr>
        <w:ind w:left="1080"/>
        <w:jc w:val="both"/>
        <w:rPr>
          <w:color w:val="0000FF"/>
        </w:rPr>
      </w:pPr>
    </w:p>
    <w:p w14:paraId="6701BA98" w14:textId="77777777" w:rsidR="00FB6144" w:rsidRPr="00F000BE" w:rsidRDefault="006F56BA" w:rsidP="00FB6144">
      <w:pPr>
        <w:ind w:left="1080"/>
      </w:pPr>
      <w:r w:rsidRPr="00F000BE">
        <w:t>Instructions for submitting Form C-111 can be obtained from the VDOT website at:</w:t>
      </w:r>
    </w:p>
    <w:p w14:paraId="48604770" w14:textId="77777777" w:rsidR="00FB6144" w:rsidRPr="009E6D58" w:rsidRDefault="006F56BA" w:rsidP="00FB6144">
      <w:pPr>
        <w:ind w:left="1080"/>
        <w:rPr>
          <w:i/>
          <w:color w:val="0000FF"/>
        </w:rPr>
      </w:pPr>
      <w:hyperlink r:id="rId13" w:history="1">
        <w:r w:rsidRPr="009E6D58">
          <w:rPr>
            <w:rStyle w:val="Hyperlink"/>
            <w:i/>
          </w:rPr>
          <w:t>http://www.virginiadot.org/business/resources/const/Exp_DBE_Commitments.pdf</w:t>
        </w:r>
      </w:hyperlink>
    </w:p>
    <w:p w14:paraId="30A174F2" w14:textId="77777777" w:rsidR="00FB6144" w:rsidRPr="009E6D58" w:rsidRDefault="00FB6144" w:rsidP="00FB6144">
      <w:pPr>
        <w:pStyle w:val="ListParagraph"/>
        <w:tabs>
          <w:tab w:val="left" w:pos="1440"/>
        </w:tabs>
        <w:ind w:left="1080"/>
        <w:jc w:val="both"/>
        <w:rPr>
          <w:b/>
        </w:rPr>
      </w:pPr>
    </w:p>
    <w:p w14:paraId="3D1038E9" w14:textId="77777777" w:rsidR="00FB6144" w:rsidRPr="009E6D58" w:rsidRDefault="006F56BA" w:rsidP="00FB6144">
      <w:pPr>
        <w:pStyle w:val="ListParagraph"/>
        <w:numPr>
          <w:ilvl w:val="1"/>
          <w:numId w:val="12"/>
        </w:numPr>
        <w:tabs>
          <w:tab w:val="left" w:pos="1440"/>
        </w:tabs>
        <w:jc w:val="both"/>
        <w:rPr>
          <w:b/>
        </w:rPr>
      </w:pPr>
      <w:r w:rsidRPr="009E6D58">
        <w:rPr>
          <w:b/>
        </w:rPr>
        <w:t xml:space="preserve">Bid Rejection: </w:t>
      </w:r>
      <w:r w:rsidRPr="00F000BE">
        <w:t xml:space="preserve">The failure of a bidder to submit the required documentation within the timeframes specified in the </w:t>
      </w:r>
      <w:r w:rsidRPr="009E6D58">
        <w:rPr>
          <w:b/>
        </w:rPr>
        <w:t>Contract Goal, Good Faith Efforts Specified</w:t>
      </w:r>
      <w:r w:rsidRPr="00F000BE">
        <w:t xml:space="preserve"> section of this </w:t>
      </w:r>
      <w:r w:rsidRPr="00F000BE">
        <w:t>Special Provision may be cause for rejection of that bidder’s bid.</w:t>
      </w:r>
    </w:p>
    <w:p w14:paraId="32642A0C" w14:textId="77777777" w:rsidR="00FB6144" w:rsidRPr="009E6D58" w:rsidRDefault="00FB6144" w:rsidP="00FB6144">
      <w:pPr>
        <w:ind w:left="1080"/>
        <w:jc w:val="both"/>
        <w:rPr>
          <w:b/>
        </w:rPr>
      </w:pPr>
    </w:p>
    <w:p w14:paraId="47ADDB50" w14:textId="77777777" w:rsidR="00FB6144" w:rsidRDefault="006F56BA" w:rsidP="00FB6144">
      <w:pPr>
        <w:ind w:left="1080"/>
        <w:jc w:val="both"/>
      </w:pPr>
      <w:r w:rsidRPr="00F000BE">
        <w:t>If the lowest bidder is rejected for failure to submit the required documentation in the specified time frames, the Department may award the work to the next lowest bidder, or re-advertise</w:t>
      </w:r>
      <w:r w:rsidRPr="00F000BE">
        <w:t xml:space="preserve"> the proposed work at a later date or proceed otherwise as determined by the Commonwealth.</w:t>
      </w:r>
    </w:p>
    <w:p w14:paraId="73C35471" w14:textId="77777777" w:rsidR="00FB6144" w:rsidRPr="009E6D58" w:rsidRDefault="00FB6144" w:rsidP="00FB6144">
      <w:pPr>
        <w:pStyle w:val="ListParagraph"/>
        <w:tabs>
          <w:tab w:val="left" w:pos="1440"/>
        </w:tabs>
        <w:ind w:left="1080"/>
        <w:jc w:val="both"/>
        <w:rPr>
          <w:b/>
        </w:rPr>
      </w:pPr>
    </w:p>
    <w:p w14:paraId="278B5EB9" w14:textId="77777777" w:rsidR="00FB6144" w:rsidRDefault="006F56BA" w:rsidP="00FB6144">
      <w:pPr>
        <w:pStyle w:val="ListParagraph"/>
        <w:numPr>
          <w:ilvl w:val="1"/>
          <w:numId w:val="12"/>
        </w:numPr>
        <w:tabs>
          <w:tab w:val="left" w:pos="1440"/>
        </w:tabs>
        <w:jc w:val="both"/>
        <w:rPr>
          <w:b/>
        </w:rPr>
      </w:pPr>
      <w:r w:rsidRPr="009E6D58">
        <w:rPr>
          <w:b/>
        </w:rPr>
        <w:t>Good Faith Efforts Described:</w:t>
      </w:r>
      <w:r w:rsidRPr="00F000BE">
        <w:t xml:space="preserve"> In order to award a contract to a bidder that has failed to meet DBE contract goal requirements, VDOT will determine if the bidder’s e</w:t>
      </w:r>
      <w:r w:rsidRPr="00F000BE">
        <w:t>fforts were adequate good faith efforts, and if given all relevant circumstances, those efforts were made actively and aggressively to meet the DBE requirements. Efforts to obtain DBE participation are not good faith efforts if they could not reasonably be</w:t>
      </w:r>
      <w:r w:rsidRPr="00F000BE">
        <w:t xml:space="preserve"> expected to produce a level of DBE participation sufficient to meet the DBE Program and contract goal requirements.</w:t>
      </w:r>
    </w:p>
    <w:p w14:paraId="28BDB9CC" w14:textId="77777777" w:rsidR="00FB6144" w:rsidRPr="00F000BE" w:rsidRDefault="00FB6144" w:rsidP="00FB6144">
      <w:pPr>
        <w:ind w:left="1080"/>
        <w:jc w:val="both"/>
      </w:pPr>
    </w:p>
    <w:p w14:paraId="118D91BE" w14:textId="77777777" w:rsidR="00FB6144" w:rsidRPr="00F000BE" w:rsidRDefault="006F56BA" w:rsidP="00FB6144">
      <w:pPr>
        <w:ind w:left="1080"/>
        <w:jc w:val="both"/>
      </w:pPr>
      <w:r w:rsidRPr="00F000BE">
        <w:t>Good faith efforts may be determined through use of the following list of the types of actions the bidder may make to obtain DBE participa</w:t>
      </w:r>
      <w:r w:rsidRPr="00F000BE">
        <w:t xml:space="preserve">tion.  This is not intended to be a mandatory </w:t>
      </w:r>
      <w:r w:rsidRPr="00F000BE">
        <w:lastRenderedPageBreak/>
        <w:t>checklist, nor is it intended to be exclusive or exhaustive.  Other factors or types of efforts of similar intent may be relevant in appropriate cases:</w:t>
      </w:r>
    </w:p>
    <w:p w14:paraId="7F1CD633" w14:textId="77777777" w:rsidR="00FB6144" w:rsidRDefault="00FB6144" w:rsidP="00FB6144">
      <w:pPr>
        <w:pStyle w:val="ListParagraph"/>
        <w:tabs>
          <w:tab w:val="left" w:pos="1440"/>
        </w:tabs>
        <w:ind w:left="1080"/>
        <w:jc w:val="both"/>
        <w:rPr>
          <w:b/>
        </w:rPr>
      </w:pPr>
    </w:p>
    <w:p w14:paraId="10525ADE" w14:textId="77777777" w:rsidR="00FB6144" w:rsidRPr="009E6D58" w:rsidRDefault="006F56BA" w:rsidP="00FB6144">
      <w:pPr>
        <w:pStyle w:val="ListParagraph"/>
        <w:numPr>
          <w:ilvl w:val="2"/>
          <w:numId w:val="12"/>
        </w:numPr>
        <w:tabs>
          <w:tab w:val="left" w:pos="1440"/>
        </w:tabs>
        <w:jc w:val="both"/>
        <w:rPr>
          <w:b/>
        </w:rPr>
      </w:pPr>
      <w:r w:rsidRPr="00F000BE">
        <w:t>Soliciting through reasonable and available means, such a</w:t>
      </w:r>
      <w:r w:rsidRPr="00F000BE">
        <w:t xml:space="preserve">s but not limited to, attendance at pre-bid meetings, advertising, and written notices to DBEs who have the capability to perform the work of </w:t>
      </w:r>
      <w:r>
        <w:t>the Contract</w:t>
      </w:r>
      <w:r w:rsidRPr="00F000BE">
        <w:t>.  Examples include: advertising in at least one daily/weekly/monthly newspaper of general circulation</w:t>
      </w:r>
      <w:r w:rsidRPr="00F000BE">
        <w:t xml:space="preserve">, as applicable; phone contact with a completely documented telephone log, including the date and time called, contact person, or voice mail status; and internet contacts with supporting documentation, including dates advertised.  The bidder shall solicit </w:t>
      </w:r>
      <w:r w:rsidRPr="00F000BE">
        <w:t>this interest no less than five (5) business days before the bids are due so that the solicited DBEs have enough time to reasonably respond to the solicitation.  The bidder shall determine with certainty if the DBEs are interested by taking reasonable step</w:t>
      </w:r>
      <w:r w:rsidRPr="00F000BE">
        <w:t>s to follow up initial solicitations as evidenced by documenting such efforts as requested on Form C-49, DBE Good Faith Efforts Documentation.</w:t>
      </w:r>
    </w:p>
    <w:p w14:paraId="42749F2F" w14:textId="77777777" w:rsidR="00FB6144" w:rsidRPr="009E6D58" w:rsidRDefault="00FB6144" w:rsidP="00FB6144">
      <w:pPr>
        <w:pStyle w:val="ListParagraph"/>
        <w:tabs>
          <w:tab w:val="left" w:pos="1440"/>
        </w:tabs>
        <w:ind w:left="1440"/>
        <w:jc w:val="both"/>
        <w:rPr>
          <w:b/>
        </w:rPr>
      </w:pPr>
    </w:p>
    <w:p w14:paraId="0F0BB22F" w14:textId="77777777" w:rsidR="00FB6144" w:rsidRPr="009E6D58" w:rsidRDefault="006F56BA" w:rsidP="00FB6144">
      <w:pPr>
        <w:pStyle w:val="ListParagraph"/>
        <w:numPr>
          <w:ilvl w:val="2"/>
          <w:numId w:val="12"/>
        </w:numPr>
        <w:tabs>
          <w:tab w:val="left" w:pos="1440"/>
        </w:tabs>
        <w:jc w:val="both"/>
        <w:rPr>
          <w:b/>
        </w:rPr>
      </w:pPr>
      <w:r w:rsidRPr="00F000BE">
        <w:t>Selecting portions of the work to be performed by DBEs in order to increase the likelihood that the DBE goals wi</w:t>
      </w:r>
      <w:r w:rsidRPr="00F000BE">
        <w:t>ll be achieved.  This includes, where appropriate, breaking out contract work items into economically feasible units to facilitate DBE participation, even when the Contractor might otherwise prefer to completely perform all portions of this work in its ent</w:t>
      </w:r>
      <w:r w:rsidRPr="00F000BE">
        <w:t>irety or use its own forces;</w:t>
      </w:r>
    </w:p>
    <w:p w14:paraId="4EBF5BF6" w14:textId="77777777" w:rsidR="00FB6144" w:rsidRPr="009E6D58" w:rsidRDefault="00FB6144" w:rsidP="00FB6144">
      <w:pPr>
        <w:pStyle w:val="ListParagraph"/>
        <w:tabs>
          <w:tab w:val="left" w:pos="1440"/>
        </w:tabs>
        <w:ind w:left="1440"/>
        <w:jc w:val="both"/>
        <w:rPr>
          <w:b/>
        </w:rPr>
      </w:pPr>
    </w:p>
    <w:p w14:paraId="1E37D0A0" w14:textId="77777777" w:rsidR="00FB6144" w:rsidRPr="009E6D58" w:rsidRDefault="006F56BA" w:rsidP="00FB6144">
      <w:pPr>
        <w:pStyle w:val="ListParagraph"/>
        <w:numPr>
          <w:ilvl w:val="2"/>
          <w:numId w:val="12"/>
        </w:numPr>
        <w:tabs>
          <w:tab w:val="left" w:pos="1440"/>
        </w:tabs>
        <w:jc w:val="both"/>
        <w:rPr>
          <w:b/>
        </w:rPr>
      </w:pPr>
      <w:r w:rsidRPr="00F000BE">
        <w:t xml:space="preserve">Providing interested DBEs with adequate information about the plans, specifications, and requirements of </w:t>
      </w:r>
      <w:r>
        <w:t>the Contract</w:t>
      </w:r>
      <w:r w:rsidRPr="00F000BE">
        <w:t xml:space="preserve"> in a timely manner, which will assist the DBEs in responding to a solicitation;</w:t>
      </w:r>
    </w:p>
    <w:p w14:paraId="5E4B3EF3" w14:textId="77777777" w:rsidR="00FB6144" w:rsidRPr="009E6D58" w:rsidRDefault="00FB6144" w:rsidP="00FB6144">
      <w:pPr>
        <w:pStyle w:val="ListParagraph"/>
        <w:tabs>
          <w:tab w:val="left" w:pos="1440"/>
        </w:tabs>
        <w:ind w:left="1440"/>
        <w:jc w:val="both"/>
        <w:rPr>
          <w:b/>
        </w:rPr>
      </w:pPr>
    </w:p>
    <w:p w14:paraId="07BACC4B" w14:textId="77777777" w:rsidR="00FB6144" w:rsidRPr="009E6D58" w:rsidRDefault="006F56BA" w:rsidP="00FB6144">
      <w:pPr>
        <w:pStyle w:val="ListParagraph"/>
        <w:numPr>
          <w:ilvl w:val="2"/>
          <w:numId w:val="12"/>
        </w:numPr>
        <w:tabs>
          <w:tab w:val="left" w:pos="1440"/>
        </w:tabs>
        <w:jc w:val="both"/>
        <w:rPr>
          <w:b/>
        </w:rPr>
      </w:pPr>
      <w:r w:rsidRPr="00F000BE">
        <w:t>Negotiating for participati</w:t>
      </w:r>
      <w:r w:rsidRPr="00F000BE">
        <w:t>on in good faith with interested DBEs;</w:t>
      </w:r>
    </w:p>
    <w:p w14:paraId="243C0ED2" w14:textId="77777777" w:rsidR="00FB6144" w:rsidRPr="009E6D58" w:rsidRDefault="00FB6144" w:rsidP="00FB6144">
      <w:pPr>
        <w:pStyle w:val="ListParagraph"/>
        <w:tabs>
          <w:tab w:val="left" w:pos="1440"/>
        </w:tabs>
        <w:ind w:left="1440"/>
        <w:jc w:val="both"/>
        <w:rPr>
          <w:b/>
        </w:rPr>
      </w:pPr>
    </w:p>
    <w:p w14:paraId="2F116342" w14:textId="77777777" w:rsidR="00FB6144" w:rsidRPr="009E6D58" w:rsidRDefault="006F56BA" w:rsidP="00FB6144">
      <w:pPr>
        <w:pStyle w:val="ListParagraph"/>
        <w:numPr>
          <w:ilvl w:val="3"/>
          <w:numId w:val="12"/>
        </w:numPr>
        <w:tabs>
          <w:tab w:val="left" w:pos="1440"/>
        </w:tabs>
        <w:jc w:val="both"/>
        <w:rPr>
          <w:b/>
        </w:rPr>
      </w:pPr>
      <w:r w:rsidRPr="00F000BE">
        <w:t xml:space="preserve">Evidence of such negotiation shall include the names, addresses, and telephone numbers of DBEs that were considered; dates DBEs were contacted; a description of the information provided regarding the plans, specifications, and requirements of </w:t>
      </w:r>
      <w:r>
        <w:t>the Contract</w:t>
      </w:r>
      <w:r w:rsidRPr="00F000BE">
        <w:t xml:space="preserve"> </w:t>
      </w:r>
      <w:r w:rsidRPr="00F000BE">
        <w:t>for the work selected for subcontracting; and, if insufficient DBE participation seems likely, evidence as to why additional agreements could not be reached for DBEs to perform the work;</w:t>
      </w:r>
    </w:p>
    <w:p w14:paraId="4919B411" w14:textId="77777777" w:rsidR="00FB6144" w:rsidRPr="009E6D58" w:rsidRDefault="00FB6144" w:rsidP="00FB6144">
      <w:pPr>
        <w:pStyle w:val="ListParagraph"/>
        <w:tabs>
          <w:tab w:val="left" w:pos="1440"/>
        </w:tabs>
        <w:ind w:left="1800"/>
        <w:jc w:val="both"/>
        <w:rPr>
          <w:b/>
        </w:rPr>
      </w:pPr>
    </w:p>
    <w:p w14:paraId="7A1DC8E3" w14:textId="77777777" w:rsidR="00FB6144" w:rsidRPr="009E6D58" w:rsidRDefault="006F56BA" w:rsidP="00FB6144">
      <w:pPr>
        <w:pStyle w:val="ListParagraph"/>
        <w:numPr>
          <w:ilvl w:val="3"/>
          <w:numId w:val="12"/>
        </w:numPr>
        <w:tabs>
          <w:tab w:val="left" w:pos="1440"/>
        </w:tabs>
        <w:jc w:val="both"/>
        <w:rPr>
          <w:b/>
        </w:rPr>
      </w:pPr>
      <w:r w:rsidRPr="00F000BE">
        <w:t>A bidder using good business judgment should consider a number of fa</w:t>
      </w:r>
      <w:r w:rsidRPr="00F000BE">
        <w:t xml:space="preserve">ctors in negotiating with subcontractors, including DBE subcontractors, and should take a firm’s price, qualifications, and capabilities, as well as contract goals, into consideration.  However, the fact that there may be some additional costs involved in </w:t>
      </w:r>
      <w:r w:rsidRPr="00F000BE">
        <w:t xml:space="preserve">finding and using DBEs is not sufficient reason for a bidder’s failure to meet </w:t>
      </w:r>
      <w:r>
        <w:t>the Contract</w:t>
      </w:r>
      <w:r w:rsidRPr="00F000BE">
        <w:t xml:space="preserve"> goal for DBE participation, as long as such costs are reasonable and comparable to costs customarily appropriate to the type of work under consideration.  Also, the</w:t>
      </w:r>
      <w:r w:rsidRPr="00F000BE">
        <w:t xml:space="preserve"> ability or desire of a bidder to perform the work of a contract with its own organization does not relieve the bidder of the responsibility to make diligent good faith efforts.  Bidders are not, however, required to accept higher quotes from DBEs if the p</w:t>
      </w:r>
      <w:r w:rsidRPr="00F000BE">
        <w:t>rice difference can be shown by the bidder to be excessive, unreasonable, or greater than would normally be expected by industry standards;</w:t>
      </w:r>
    </w:p>
    <w:p w14:paraId="63B0AF10" w14:textId="77777777" w:rsidR="00FB6144" w:rsidRPr="009E6D58" w:rsidRDefault="00FB6144" w:rsidP="00FB6144">
      <w:pPr>
        <w:pStyle w:val="ListParagraph"/>
        <w:tabs>
          <w:tab w:val="left" w:pos="1440"/>
        </w:tabs>
        <w:ind w:left="1800"/>
        <w:jc w:val="both"/>
        <w:rPr>
          <w:b/>
        </w:rPr>
      </w:pPr>
    </w:p>
    <w:p w14:paraId="0C38E9BC" w14:textId="77777777" w:rsidR="00FB6144" w:rsidRPr="009E6D58" w:rsidRDefault="006F56BA" w:rsidP="00FB6144">
      <w:pPr>
        <w:pStyle w:val="ListParagraph"/>
        <w:numPr>
          <w:ilvl w:val="2"/>
          <w:numId w:val="12"/>
        </w:numPr>
        <w:tabs>
          <w:tab w:val="left" w:pos="1440"/>
        </w:tabs>
        <w:jc w:val="both"/>
        <w:rPr>
          <w:b/>
        </w:rPr>
      </w:pPr>
      <w:r w:rsidRPr="00F000BE">
        <w:t>A bidder cannot reject a DBE as being unqualified without sound reasons based on a thorough investigation of the DB</w:t>
      </w:r>
      <w:r w:rsidRPr="00F000BE">
        <w:t>E’s capabilities.  The DBE’s standing within its industry, membership in specific groups, organizations, associations, and political or social affiliations, and union vs. non-union employee status are not legitimate causes for the rejection or non-solicita</w:t>
      </w:r>
      <w:r w:rsidRPr="00F000BE">
        <w:t>tion of bids in the bidder’s efforts to meet the project goal for DBE participation;</w:t>
      </w:r>
    </w:p>
    <w:p w14:paraId="7E6B7A81" w14:textId="77777777" w:rsidR="00FB6144" w:rsidRPr="009E6D58" w:rsidRDefault="00FB6144" w:rsidP="00FB6144">
      <w:pPr>
        <w:pStyle w:val="ListParagraph"/>
        <w:tabs>
          <w:tab w:val="left" w:pos="1440"/>
        </w:tabs>
        <w:ind w:left="1440"/>
        <w:jc w:val="both"/>
        <w:rPr>
          <w:b/>
        </w:rPr>
      </w:pPr>
    </w:p>
    <w:p w14:paraId="7C47A351" w14:textId="77777777" w:rsidR="00FB6144" w:rsidRPr="009E6D58" w:rsidRDefault="006F56BA" w:rsidP="00FB6144">
      <w:pPr>
        <w:pStyle w:val="ListParagraph"/>
        <w:numPr>
          <w:ilvl w:val="2"/>
          <w:numId w:val="12"/>
        </w:numPr>
        <w:tabs>
          <w:tab w:val="left" w:pos="1440"/>
        </w:tabs>
        <w:jc w:val="both"/>
        <w:rPr>
          <w:b/>
        </w:rPr>
      </w:pPr>
      <w:r w:rsidRPr="00F000BE">
        <w:lastRenderedPageBreak/>
        <w:t>Making efforts to assist interested DBEs in obtaining bonding, lines of credit, or insurance as required by VDOT or by the bidder/Contractor;</w:t>
      </w:r>
    </w:p>
    <w:p w14:paraId="63514F63" w14:textId="77777777" w:rsidR="00FB6144" w:rsidRPr="009E6D58" w:rsidRDefault="00FB6144" w:rsidP="00FB6144">
      <w:pPr>
        <w:pStyle w:val="ListParagraph"/>
        <w:tabs>
          <w:tab w:val="left" w:pos="1440"/>
        </w:tabs>
        <w:ind w:left="1440"/>
        <w:jc w:val="both"/>
        <w:rPr>
          <w:b/>
        </w:rPr>
      </w:pPr>
    </w:p>
    <w:p w14:paraId="415F77A2" w14:textId="77777777" w:rsidR="00FB6144" w:rsidRPr="009E6D58" w:rsidRDefault="006F56BA" w:rsidP="00FB6144">
      <w:pPr>
        <w:pStyle w:val="ListParagraph"/>
        <w:numPr>
          <w:ilvl w:val="2"/>
          <w:numId w:val="12"/>
        </w:numPr>
        <w:tabs>
          <w:tab w:val="left" w:pos="1440"/>
        </w:tabs>
        <w:jc w:val="both"/>
        <w:rPr>
          <w:b/>
        </w:rPr>
      </w:pPr>
      <w:r w:rsidRPr="00F000BE">
        <w:t>Making efforts to assist in</w:t>
      </w:r>
      <w:r w:rsidRPr="00F000BE">
        <w:t>terested DBEs in obtaining necessary equipment, supplies, materials, or related assistance or services subject to the restrictions contained in these provisions;</w:t>
      </w:r>
    </w:p>
    <w:p w14:paraId="067D668F" w14:textId="77777777" w:rsidR="00FB6144" w:rsidRPr="009E6D58" w:rsidRDefault="00FB6144" w:rsidP="00FB6144">
      <w:pPr>
        <w:pStyle w:val="ListParagraph"/>
        <w:tabs>
          <w:tab w:val="left" w:pos="1440"/>
        </w:tabs>
        <w:ind w:left="1440"/>
        <w:jc w:val="both"/>
        <w:rPr>
          <w:b/>
        </w:rPr>
      </w:pPr>
    </w:p>
    <w:p w14:paraId="13D43439" w14:textId="77777777" w:rsidR="00FB6144" w:rsidRPr="009E6D58" w:rsidRDefault="006F56BA" w:rsidP="00FB6144">
      <w:pPr>
        <w:pStyle w:val="ListParagraph"/>
        <w:numPr>
          <w:ilvl w:val="2"/>
          <w:numId w:val="12"/>
        </w:numPr>
        <w:tabs>
          <w:tab w:val="left" w:pos="1440"/>
        </w:tabs>
        <w:jc w:val="both"/>
        <w:rPr>
          <w:b/>
        </w:rPr>
      </w:pPr>
      <w:r w:rsidRPr="00F000BE">
        <w:t>Effectively using the services of appropriate personnel from VDOT and from DMBE; available mi</w:t>
      </w:r>
      <w:r w:rsidRPr="00F000BE">
        <w:t>nority/women community or minority organizations; contractors’ groups; local, state, and Federal minority/ women business assistance offices; and other organizations as allowed on a case-by-case basis to provide assistance in the recruitment and utilizatio</w:t>
      </w:r>
      <w:r w:rsidRPr="00F000BE">
        <w:t>n of qualified DBEs.</w:t>
      </w:r>
    </w:p>
    <w:p w14:paraId="4EE431FE" w14:textId="77777777" w:rsidR="00FB6144" w:rsidRPr="00F000BE" w:rsidRDefault="00FB6144" w:rsidP="00FB6144">
      <w:pPr>
        <w:ind w:left="1080"/>
        <w:jc w:val="both"/>
      </w:pPr>
    </w:p>
    <w:p w14:paraId="235EBB76" w14:textId="77777777" w:rsidR="00FB6144" w:rsidRPr="00F000BE" w:rsidRDefault="006F56BA" w:rsidP="00FB6144">
      <w:pPr>
        <w:pStyle w:val="ListParagraph"/>
        <w:numPr>
          <w:ilvl w:val="0"/>
          <w:numId w:val="12"/>
        </w:numPr>
        <w:tabs>
          <w:tab w:val="left" w:pos="1080"/>
        </w:tabs>
        <w:jc w:val="both"/>
      </w:pPr>
      <w:r w:rsidRPr="00815945">
        <w:rPr>
          <w:b/>
        </w:rPr>
        <w:t>Documentation and Administrative Reconsideration of Good Faith Efforts</w:t>
      </w:r>
    </w:p>
    <w:p w14:paraId="044A5DB6" w14:textId="77777777" w:rsidR="00FB6144" w:rsidRPr="00F000BE" w:rsidRDefault="00FB6144" w:rsidP="00FB6144">
      <w:pPr>
        <w:ind w:left="1080"/>
        <w:jc w:val="both"/>
      </w:pPr>
    </w:p>
    <w:p w14:paraId="33F9B94E" w14:textId="77777777" w:rsidR="00FB6144" w:rsidRPr="00F000BE" w:rsidRDefault="006F56BA" w:rsidP="00FB6144">
      <w:pPr>
        <w:ind w:left="720"/>
        <w:jc w:val="both"/>
      </w:pPr>
      <w:r w:rsidRPr="00F000BE">
        <w:rPr>
          <w:b/>
          <w:bCs/>
        </w:rPr>
        <w:t>During Bidding</w:t>
      </w:r>
      <w:r w:rsidRPr="00F000BE">
        <w:rPr>
          <w:b/>
        </w:rPr>
        <w:t>:</w:t>
      </w:r>
      <w:r w:rsidRPr="00F000BE">
        <w:t xml:space="preserve"> As described in the </w:t>
      </w:r>
      <w:r w:rsidRPr="00F000BE">
        <w:rPr>
          <w:b/>
        </w:rPr>
        <w:t>Contract Goal, Good Faith Efforts Specified</w:t>
      </w:r>
      <w:r w:rsidRPr="00F000BE">
        <w:t xml:space="preserve"> section of this Special Provision, the bidder must provide Form C-49, DBE Good Faith Efforts Documentation, of its efforts made to meet the DBE contract goal as proposed by VDOT within the time frame specified in this provision. The means of transmittal a</w:t>
      </w:r>
      <w:r w:rsidRPr="00F000BE">
        <w:t>nd the risk for timely receipt of this information shall be the responsibility of the bidder.  The bidder shall attach additional pages to the certification, if necessary, in order to fully detail specific good faith efforts made to obtain the DBE firms pa</w:t>
      </w:r>
      <w:r w:rsidRPr="00F000BE">
        <w:t>rticipation in the proposed contract work.</w:t>
      </w:r>
    </w:p>
    <w:p w14:paraId="0E46A2EE" w14:textId="77777777" w:rsidR="00FB6144" w:rsidRPr="00F000BE" w:rsidRDefault="00FB6144" w:rsidP="00FB6144">
      <w:pPr>
        <w:ind w:left="720"/>
        <w:jc w:val="both"/>
      </w:pPr>
    </w:p>
    <w:p w14:paraId="46E543C6" w14:textId="77777777" w:rsidR="00FB6144" w:rsidRPr="00F000BE" w:rsidRDefault="006F56BA" w:rsidP="00FB6144">
      <w:pPr>
        <w:ind w:left="720"/>
        <w:jc w:val="both"/>
      </w:pPr>
      <w:r w:rsidRPr="00F000BE">
        <w:t xml:space="preserve">However, regardless of the DBE contract goal participation level proposed by the bidder or the extent of good faith efforts shown, all bidders shall timely and separately file their completed and executed forms </w:t>
      </w:r>
      <w:r w:rsidRPr="00F000BE">
        <w:t>C-111, C-112, C-48, and C-49, as aforementioned, or face potential bid rejection.</w:t>
      </w:r>
    </w:p>
    <w:p w14:paraId="6465EF6D" w14:textId="77777777" w:rsidR="00FB6144" w:rsidRPr="00F000BE" w:rsidRDefault="00FB6144" w:rsidP="00FB6144">
      <w:pPr>
        <w:ind w:left="720"/>
        <w:jc w:val="both"/>
      </w:pPr>
    </w:p>
    <w:p w14:paraId="359F0309" w14:textId="77777777" w:rsidR="00FB6144" w:rsidRPr="00F000BE" w:rsidRDefault="006F56BA" w:rsidP="00FB6144">
      <w:pPr>
        <w:ind w:left="720"/>
        <w:jc w:val="both"/>
      </w:pPr>
      <w:r w:rsidRPr="00F000BE">
        <w:t>If a bidder does not submit its completed and executed forms C-111, or C-112, when required by this Special Provision, the bidder’s bid will be considered non-responsive and</w:t>
      </w:r>
      <w:r w:rsidRPr="00F000BE">
        <w:t xml:space="preserve"> may be rejected.</w:t>
      </w:r>
    </w:p>
    <w:p w14:paraId="30445353" w14:textId="77777777" w:rsidR="00FB6144" w:rsidRPr="00F000BE" w:rsidRDefault="00FB6144" w:rsidP="00FB6144">
      <w:pPr>
        <w:ind w:left="720"/>
        <w:jc w:val="both"/>
      </w:pPr>
    </w:p>
    <w:p w14:paraId="483D75F0" w14:textId="77777777" w:rsidR="00FB6144" w:rsidRPr="00F000BE" w:rsidRDefault="006F56BA" w:rsidP="00FB6144">
      <w:pPr>
        <w:ind w:left="720"/>
        <w:jc w:val="both"/>
      </w:pPr>
      <w:r w:rsidRPr="00F000BE">
        <w:t xml:space="preserve">Where the Department upon initial review of the bid results determines the apparent low bidder has failed or appears to have failed to meet the requirements of the </w:t>
      </w:r>
      <w:r w:rsidRPr="00F000BE">
        <w:rPr>
          <w:b/>
        </w:rPr>
        <w:t xml:space="preserve">Contract Goal, Good Faith Efforts Specified </w:t>
      </w:r>
      <w:r w:rsidRPr="00F000BE">
        <w:rPr>
          <w:bCs/>
        </w:rPr>
        <w:t>section</w:t>
      </w:r>
      <w:r w:rsidRPr="00F000BE">
        <w:rPr>
          <w:b/>
        </w:rPr>
        <w:t xml:space="preserve"> </w:t>
      </w:r>
      <w:r w:rsidRPr="00F000BE">
        <w:t>of this Special Provi</w:t>
      </w:r>
      <w:r w:rsidRPr="00F000BE">
        <w:t xml:space="preserve">sion and has failed to adequately document that it made a good faith effort to achieve sufficient DBE participation as specified in the bid proposal, that firm upon notification of the Department’s initial determination will be offered the opportunity for </w:t>
      </w:r>
      <w:r w:rsidRPr="00F000BE">
        <w:t>administrative reconsideration before VDOT rejects that bid as non-responsive.  The bidder shall address such request for reconsideration in writing to the Contract Engineer within five (5) business days of receipt of notification by the Department and sha</w:t>
      </w:r>
      <w:r w:rsidRPr="00F000BE">
        <w:t>ll be given the opportunity to discuss the issue and present its evidence in person to the</w:t>
      </w:r>
      <w:r w:rsidRPr="00F000BE">
        <w:rPr>
          <w:rFonts w:cs="Arial"/>
        </w:rPr>
        <w:t xml:space="preserve"> Administrative Reconsideration Panel</w:t>
      </w:r>
      <w:r w:rsidRPr="00F000BE">
        <w:t xml:space="preserve">.  </w:t>
      </w:r>
      <w:r w:rsidRPr="00F000BE">
        <w:rPr>
          <w:rFonts w:cs="Arial"/>
        </w:rPr>
        <w:t xml:space="preserve">The Administrative Reconsideration Panel will be made up of VDOT Division Administrators or their designees, </w:t>
      </w:r>
      <w:r w:rsidRPr="00F000BE">
        <w:t xml:space="preserve">none of who took </w:t>
      </w:r>
      <w:r w:rsidRPr="00F000BE">
        <w:t>part in the initial determination that the bidder failed to make the goal or make adequate good faith efforts to do so.  After reconsideration, VDOT shall notify the bidder in writing of its decision and explain the basis for finding that the bidder did or</w:t>
      </w:r>
      <w:r w:rsidRPr="00F000BE">
        <w:t xml:space="preserve"> did not meet the goal or make adequate good faith efforts to do so.</w:t>
      </w:r>
    </w:p>
    <w:p w14:paraId="78E24968" w14:textId="77777777" w:rsidR="00FB6144" w:rsidRPr="00F000BE" w:rsidRDefault="00FB6144" w:rsidP="00FB6144">
      <w:pPr>
        <w:ind w:left="720"/>
        <w:jc w:val="both"/>
      </w:pPr>
    </w:p>
    <w:p w14:paraId="1C271717" w14:textId="77777777" w:rsidR="00FB6144" w:rsidRPr="00F000BE" w:rsidRDefault="006F56BA" w:rsidP="00FB6144">
      <w:pPr>
        <w:ind w:left="720"/>
        <w:jc w:val="both"/>
      </w:pPr>
      <w:r w:rsidRPr="00F000BE">
        <w:t xml:space="preserve">If, after reconsideration, the Department determines the bidder has failed to meet the requirements of </w:t>
      </w:r>
      <w:r>
        <w:t>the Contract</w:t>
      </w:r>
      <w:r w:rsidRPr="00F000BE">
        <w:t xml:space="preserve"> goal and has failed to make adequate good faith efforts to achieve the</w:t>
      </w:r>
      <w:r w:rsidRPr="00F000BE">
        <w:t xml:space="preserve"> level of DBE participation as specified in the bid proposal, the bidder’s bid will be rejected.</w:t>
      </w:r>
    </w:p>
    <w:p w14:paraId="22AD8E05" w14:textId="77777777" w:rsidR="00FB6144" w:rsidRPr="00F000BE" w:rsidRDefault="00FB6144" w:rsidP="00FB6144">
      <w:pPr>
        <w:ind w:left="720"/>
        <w:jc w:val="both"/>
      </w:pPr>
    </w:p>
    <w:p w14:paraId="772E2649" w14:textId="77777777" w:rsidR="00FB6144" w:rsidRPr="00F000BE" w:rsidRDefault="006F56BA" w:rsidP="00FB6144">
      <w:pPr>
        <w:ind w:left="720"/>
        <w:jc w:val="both"/>
      </w:pPr>
      <w:r w:rsidRPr="00F000BE">
        <w:t xml:space="preserve">If sufficient documented evidence is presented to demonstrate that the apparent low bidder made reasonable good faith efforts, the Department will award </w:t>
      </w:r>
      <w:r>
        <w:t>the C</w:t>
      </w:r>
      <w:r>
        <w:t>ontract</w:t>
      </w:r>
      <w:r w:rsidRPr="00F000BE">
        <w:t xml:space="preserve"> and reduce the DBE requirement to the actual commitment identified by the lowest successful bidder at the time of its bid. The Contractor is still encouraged to seek additional DBE participation during the life of </w:t>
      </w:r>
      <w:r>
        <w:t>the Contract</w:t>
      </w:r>
      <w:r w:rsidRPr="00F000BE">
        <w:t>.</w:t>
      </w:r>
    </w:p>
    <w:p w14:paraId="407FC1DE" w14:textId="77777777" w:rsidR="00FB6144" w:rsidRPr="00F000BE" w:rsidRDefault="00FB6144" w:rsidP="00FB6144">
      <w:pPr>
        <w:ind w:left="720"/>
        <w:jc w:val="both"/>
      </w:pPr>
    </w:p>
    <w:p w14:paraId="003D4B87" w14:textId="77777777" w:rsidR="00FB6144" w:rsidRPr="00F000BE" w:rsidRDefault="006F56BA" w:rsidP="00FB6144">
      <w:pPr>
        <w:ind w:left="720"/>
        <w:jc w:val="both"/>
      </w:pPr>
      <w:r w:rsidRPr="00F000BE">
        <w:lastRenderedPageBreak/>
        <w:t>However, such actio</w:t>
      </w:r>
      <w:r w:rsidRPr="00F000BE">
        <w:t xml:space="preserve">n will not relieve the Contractor of its responsibility for complying with the reduced DBE requirement during the life of </w:t>
      </w:r>
      <w:r>
        <w:t>the Contract</w:t>
      </w:r>
      <w:r w:rsidRPr="00F000BE">
        <w:t xml:space="preserve"> or any administrative sanctions as may be appropriate.</w:t>
      </w:r>
    </w:p>
    <w:p w14:paraId="4A872068" w14:textId="77777777" w:rsidR="00FB6144" w:rsidRPr="00F000BE" w:rsidRDefault="00FB6144" w:rsidP="00FB6144">
      <w:pPr>
        <w:ind w:left="720"/>
        <w:jc w:val="both"/>
        <w:rPr>
          <w:b/>
          <w:bCs/>
        </w:rPr>
      </w:pPr>
    </w:p>
    <w:p w14:paraId="3CF30F9F" w14:textId="77777777" w:rsidR="00FB6144" w:rsidRPr="00F000BE" w:rsidRDefault="006F56BA" w:rsidP="00FB6144">
      <w:pPr>
        <w:ind w:left="720"/>
        <w:jc w:val="both"/>
      </w:pPr>
      <w:r w:rsidRPr="00F000BE">
        <w:rPr>
          <w:b/>
          <w:bCs/>
        </w:rPr>
        <w:t>During the Contract</w:t>
      </w:r>
      <w:r w:rsidRPr="00F000BE">
        <w:rPr>
          <w:rFonts w:cs="Arial"/>
          <w:b/>
        </w:rPr>
        <w:t>:</w:t>
      </w:r>
      <w:r w:rsidRPr="00F000BE">
        <w:rPr>
          <w:rFonts w:cs="Arial"/>
        </w:rPr>
        <w:t xml:space="preserve"> </w:t>
      </w:r>
      <w:r w:rsidRPr="00F000BE">
        <w:t>If a DBE, through no fault of the Contractor</w:t>
      </w:r>
      <w:r w:rsidRPr="00F000BE">
        <w:t>, is unable or unwilling to fulfill his agreement with the Contractor, the Contractor shall immediately notify the Department and provide all relevant facts.  If a Contractor relieves a DBE subcontractor of the responsibility to perform work under their su</w:t>
      </w:r>
      <w:r w:rsidRPr="00F000BE">
        <w:t>bcontract, the Contractor is encouraged to take the appropriate steps to obtain a DBE to perform an equal dollar value of the remaining subcontracted work.  In such instances, the Contractor is expected to seek DBE participation towards meeting the goal du</w:t>
      </w:r>
      <w:r w:rsidRPr="00F000BE">
        <w:t xml:space="preserve">ring the performance of </w:t>
      </w:r>
      <w:r>
        <w:t>the Contract</w:t>
      </w:r>
      <w:r w:rsidRPr="00F000BE">
        <w:t xml:space="preserve">. </w:t>
      </w:r>
    </w:p>
    <w:p w14:paraId="53AB26D2" w14:textId="77777777" w:rsidR="00FB6144" w:rsidRPr="00F000BE" w:rsidRDefault="00FB6144" w:rsidP="00FB6144">
      <w:pPr>
        <w:ind w:left="720"/>
        <w:jc w:val="both"/>
        <w:rPr>
          <w:rFonts w:cs="Arial"/>
        </w:rPr>
      </w:pPr>
    </w:p>
    <w:p w14:paraId="67FD1AE2" w14:textId="77777777" w:rsidR="00FB6144" w:rsidRPr="00F000BE" w:rsidRDefault="006F56BA" w:rsidP="00FB6144">
      <w:pPr>
        <w:ind w:left="720"/>
        <w:jc w:val="both"/>
        <w:rPr>
          <w:rFonts w:cs="Arial"/>
        </w:rPr>
      </w:pPr>
      <w:r w:rsidRPr="00F000BE">
        <w:rPr>
          <w:rFonts w:cs="Arial"/>
        </w:rPr>
        <w:t>If the Contractor fails to conform to the schedule of DBE participation as shown on the progress schedule, or at any point at which it is clearly evident that the remaining dollar value of allowable credit for perfor</w:t>
      </w:r>
      <w:r w:rsidRPr="00F000BE">
        <w:rPr>
          <w:rFonts w:cs="Arial"/>
        </w:rPr>
        <w:t>ming work is insufficient to obtain the scheduled participation, and the Contractor has not taken the preceding actions, the Contractor and any aforementioned affiliates may be subject to disallowance of DBE credit until such time as conformance with the s</w:t>
      </w:r>
      <w:r w:rsidRPr="00F000BE">
        <w:rPr>
          <w:rFonts w:cs="Arial"/>
        </w:rPr>
        <w:t xml:space="preserve">chedule of DBE participation is achieved.  </w:t>
      </w:r>
    </w:p>
    <w:p w14:paraId="73FD2CB6" w14:textId="77777777" w:rsidR="00FB6144" w:rsidRPr="00F000BE" w:rsidRDefault="00FB6144" w:rsidP="00FB6144">
      <w:pPr>
        <w:ind w:left="720"/>
        <w:jc w:val="both"/>
        <w:rPr>
          <w:rFonts w:cs="Arial"/>
        </w:rPr>
      </w:pPr>
    </w:p>
    <w:p w14:paraId="52A92F70" w14:textId="77777777" w:rsidR="00FB6144" w:rsidRPr="00F000BE" w:rsidRDefault="006F56BA" w:rsidP="00FB6144">
      <w:pPr>
        <w:ind w:left="720"/>
        <w:jc w:val="both"/>
        <w:rPr>
          <w:rFonts w:cs="Arial"/>
        </w:rPr>
      </w:pPr>
      <w:r w:rsidRPr="00F000BE">
        <w:rPr>
          <w:rFonts w:cs="Arial"/>
          <w:b/>
        </w:rPr>
        <w:t xml:space="preserve">Project Completion: </w:t>
      </w:r>
      <w:r w:rsidRPr="00F000BE">
        <w:rPr>
          <w:rFonts w:cs="Arial"/>
        </w:rPr>
        <w:t>If the Contractor fails upon completion of the project to meet the required participation, the Contractor and any prime contractual affiliates, as in the case of a joint venture, may be enjoi</w:t>
      </w:r>
      <w:r w:rsidRPr="00F000BE">
        <w:rPr>
          <w:rFonts w:cs="Arial"/>
        </w:rPr>
        <w:t>ned from bidding as a prime Contractor, or participating as a subcontractor on VDOT projects for a period of 90 days.</w:t>
      </w:r>
    </w:p>
    <w:p w14:paraId="3F8DB620" w14:textId="77777777" w:rsidR="00FB6144" w:rsidRPr="00F000BE" w:rsidRDefault="00FB6144" w:rsidP="00FB6144">
      <w:pPr>
        <w:ind w:left="720"/>
        <w:jc w:val="both"/>
        <w:rPr>
          <w:rFonts w:cs="Arial"/>
        </w:rPr>
      </w:pPr>
    </w:p>
    <w:p w14:paraId="3A90CCAE" w14:textId="77777777" w:rsidR="00FB6144" w:rsidRPr="00F000BE" w:rsidRDefault="006F56BA" w:rsidP="00FB6144">
      <w:pPr>
        <w:ind w:left="720"/>
        <w:jc w:val="both"/>
        <w:rPr>
          <w:rFonts w:cs="Arial"/>
        </w:rPr>
      </w:pPr>
      <w:r w:rsidRPr="00F000BE">
        <w:rPr>
          <w:rFonts w:cs="Arial"/>
        </w:rPr>
        <w:t>Prior to enjoinment from bidding or denial to participate as a subcontractor for failure to comply with participation requirements, as pr</w:t>
      </w:r>
      <w:r w:rsidRPr="00F000BE">
        <w:rPr>
          <w:rFonts w:cs="Arial"/>
        </w:rPr>
        <w:t>ovided hereinbefore, the Contractor may submit documentation to the State Construction Engineer to substantiate that failure was due solely to quantitative underrun(s), elimination of items subcontracted to DBEs, or to circumstances beyond their control, a</w:t>
      </w:r>
      <w:r w:rsidRPr="00F000BE">
        <w:rPr>
          <w:rFonts w:cs="Arial"/>
        </w:rPr>
        <w:t xml:space="preserve">nd that all feasible means have been used to obtain the required participation.  The State Construction Engineer upon verification of such documentation shall make a determination whether or not the Contractor has met the requirements of </w:t>
      </w:r>
      <w:r>
        <w:rPr>
          <w:rFonts w:cs="Arial"/>
        </w:rPr>
        <w:t>the Contract</w:t>
      </w:r>
      <w:r w:rsidRPr="00F000BE">
        <w:rPr>
          <w:rFonts w:cs="Arial"/>
        </w:rPr>
        <w:t>.</w:t>
      </w:r>
    </w:p>
    <w:p w14:paraId="60090DFE" w14:textId="77777777" w:rsidR="00FB6144" w:rsidRPr="00F000BE" w:rsidRDefault="00FB6144" w:rsidP="00FB6144">
      <w:pPr>
        <w:ind w:left="720"/>
        <w:jc w:val="both"/>
        <w:rPr>
          <w:rFonts w:cs="Arial"/>
        </w:rPr>
      </w:pPr>
    </w:p>
    <w:p w14:paraId="566AC0DC" w14:textId="77777777" w:rsidR="00FB6144" w:rsidRPr="00F000BE" w:rsidRDefault="006F56BA" w:rsidP="00FB6144">
      <w:pPr>
        <w:ind w:left="720"/>
        <w:jc w:val="both"/>
        <w:rPr>
          <w:rFonts w:cs="Arial"/>
        </w:rPr>
      </w:pPr>
      <w:r w:rsidRPr="00F000BE">
        <w:rPr>
          <w:rFonts w:cs="Arial"/>
        </w:rPr>
        <w:t xml:space="preserve">If </w:t>
      </w:r>
      <w:r w:rsidRPr="00F000BE">
        <w:rPr>
          <w:rFonts w:cs="Arial"/>
        </w:rPr>
        <w:t>it is determined that the aforementioned documentation is insufficient or the failure to meet required participation is due to other reasons, the Contractor may request an appearance before the Administrative Reconsideration Panel to establish that all fea</w:t>
      </w:r>
      <w:r w:rsidRPr="00F000BE">
        <w:rPr>
          <w:rFonts w:cs="Arial"/>
        </w:rPr>
        <w:t xml:space="preserve">sible means were used to meet such participation requirements.  The decision of the Administrative Reconsideration Panel shall be administratively final. If the decision is made to enjoin the Contractor from bidding on other VDOT work as described herein, </w:t>
      </w:r>
      <w:r w:rsidRPr="00F000BE">
        <w:rPr>
          <w:rFonts w:cs="Arial"/>
        </w:rPr>
        <w:t>the enjoinment period will begin upon the Contractor’s failure to request a hearing within the designated time frame or upon the Administrative Reconsideration Panel’s decision to enjoin, as applicable.</w:t>
      </w:r>
    </w:p>
    <w:p w14:paraId="58758DDD" w14:textId="77777777" w:rsidR="00FB6144" w:rsidRPr="00F000BE" w:rsidRDefault="00FB6144" w:rsidP="00FB6144">
      <w:pPr>
        <w:ind w:left="720"/>
        <w:jc w:val="both"/>
        <w:rPr>
          <w:rFonts w:cs="Arial"/>
        </w:rPr>
      </w:pPr>
    </w:p>
    <w:p w14:paraId="30D03E3D" w14:textId="77777777" w:rsidR="00FB6144" w:rsidRDefault="006F56BA" w:rsidP="00FB6144">
      <w:pPr>
        <w:pStyle w:val="ListParagraph"/>
        <w:numPr>
          <w:ilvl w:val="0"/>
          <w:numId w:val="12"/>
        </w:numPr>
        <w:jc w:val="both"/>
        <w:rPr>
          <w:b/>
        </w:rPr>
      </w:pPr>
      <w:r w:rsidRPr="00815945">
        <w:rPr>
          <w:b/>
          <w:snapToGrid w:val="0"/>
        </w:rPr>
        <w:t>DBE</w:t>
      </w:r>
      <w:r w:rsidRPr="00815945">
        <w:rPr>
          <w:b/>
        </w:rPr>
        <w:t xml:space="preserve"> Participation for Contract Goal Credit</w:t>
      </w:r>
    </w:p>
    <w:p w14:paraId="3FF073AA" w14:textId="77777777" w:rsidR="00FB6144" w:rsidRDefault="00FB6144" w:rsidP="00FB6144">
      <w:pPr>
        <w:pStyle w:val="ListParagraph"/>
        <w:jc w:val="both"/>
        <w:rPr>
          <w:b/>
        </w:rPr>
      </w:pPr>
    </w:p>
    <w:p w14:paraId="069221DE" w14:textId="77777777" w:rsidR="00FB6144" w:rsidRPr="009E6D58" w:rsidRDefault="006F56BA" w:rsidP="00FB6144">
      <w:pPr>
        <w:pStyle w:val="ListParagraph"/>
        <w:numPr>
          <w:ilvl w:val="1"/>
          <w:numId w:val="12"/>
        </w:numPr>
        <w:jc w:val="both"/>
        <w:rPr>
          <w:b/>
        </w:rPr>
      </w:pPr>
      <w:r w:rsidRPr="00F000BE">
        <w:t>Cost-plus subcontracts will not be considered to be in accordance with normal industry practice and will not normally be allowed for credit.</w:t>
      </w:r>
    </w:p>
    <w:p w14:paraId="2F2A04B6" w14:textId="77777777" w:rsidR="00FB6144" w:rsidRPr="009E6D58" w:rsidRDefault="00FB6144" w:rsidP="00FB6144">
      <w:pPr>
        <w:pStyle w:val="ListParagraph"/>
        <w:ind w:left="1080"/>
        <w:jc w:val="both"/>
        <w:rPr>
          <w:b/>
        </w:rPr>
      </w:pPr>
    </w:p>
    <w:p w14:paraId="7A038365" w14:textId="77777777" w:rsidR="00FB6144" w:rsidRPr="009E6D58" w:rsidRDefault="006F56BA" w:rsidP="00FB6144">
      <w:pPr>
        <w:pStyle w:val="ListParagraph"/>
        <w:numPr>
          <w:ilvl w:val="1"/>
          <w:numId w:val="12"/>
        </w:numPr>
        <w:jc w:val="both"/>
        <w:rPr>
          <w:b/>
        </w:rPr>
      </w:pPr>
      <w:r w:rsidRPr="00F000BE">
        <w:t xml:space="preserve">The applicable percentage of the total dollar value of the </w:t>
      </w:r>
      <w:r>
        <w:t>C</w:t>
      </w:r>
      <w:r w:rsidRPr="00F000BE">
        <w:t xml:space="preserve">ontract or </w:t>
      </w:r>
      <w:r>
        <w:t>S</w:t>
      </w:r>
      <w:r w:rsidRPr="00F000BE">
        <w:t>ubcontract awarded to the DBE will be coun</w:t>
      </w:r>
      <w:r w:rsidRPr="00F000BE">
        <w:t xml:space="preserve">ted toward meeting </w:t>
      </w:r>
      <w:r>
        <w:t>the Contract</w:t>
      </w:r>
      <w:r w:rsidRPr="00F000BE">
        <w:t xml:space="preserve"> goal for DBE participation in accordance with the </w:t>
      </w:r>
      <w:r w:rsidRPr="009E6D58">
        <w:rPr>
          <w:b/>
          <w:bCs/>
        </w:rPr>
        <w:t xml:space="preserve">DBE </w:t>
      </w:r>
      <w:r w:rsidRPr="009E6D58">
        <w:rPr>
          <w:rFonts w:cs="Arial"/>
          <w:b/>
        </w:rPr>
        <w:t>Program-Related Certifications Made by Bidders\Contractors</w:t>
      </w:r>
      <w:r w:rsidRPr="009E6D58">
        <w:rPr>
          <w:rFonts w:cs="Arial"/>
          <w:b/>
          <w:bCs/>
        </w:rPr>
        <w:t xml:space="preserve"> </w:t>
      </w:r>
      <w:r w:rsidRPr="00F000BE">
        <w:t xml:space="preserve">section of this Special Provision for the value of the work, goods, or services that are actually performed or </w:t>
      </w:r>
      <w:r w:rsidRPr="00F000BE">
        <w:t>provided by the DBE firm itself or subcontracted by the DBE to other DBE firms.</w:t>
      </w:r>
    </w:p>
    <w:p w14:paraId="73D4AC41" w14:textId="77777777" w:rsidR="00FB6144" w:rsidRPr="009E6D58" w:rsidRDefault="00FB6144" w:rsidP="00FB6144">
      <w:pPr>
        <w:pStyle w:val="ListParagraph"/>
        <w:ind w:left="1080"/>
        <w:jc w:val="both"/>
        <w:rPr>
          <w:b/>
        </w:rPr>
      </w:pPr>
    </w:p>
    <w:p w14:paraId="40E12F7A" w14:textId="77777777" w:rsidR="00FB6144" w:rsidRPr="009E6D58" w:rsidRDefault="006F56BA" w:rsidP="00FB6144">
      <w:pPr>
        <w:pStyle w:val="ListParagraph"/>
        <w:numPr>
          <w:ilvl w:val="1"/>
          <w:numId w:val="12"/>
        </w:numPr>
        <w:jc w:val="both"/>
        <w:rPr>
          <w:b/>
        </w:rPr>
      </w:pPr>
      <w:r w:rsidRPr="00F000BE">
        <w:t xml:space="preserve">When a DBE performs work as a participant in a joint venture with a non-DBE firm, the Contractor may count toward the DBE goal only that portion of the total dollar value of </w:t>
      </w:r>
      <w:r>
        <w:t>t</w:t>
      </w:r>
      <w:r>
        <w:t>he Contract</w:t>
      </w:r>
      <w:r w:rsidRPr="00F000BE">
        <w:t xml:space="preserve"> equal to the distinctly defined portion of </w:t>
      </w:r>
      <w:r>
        <w:t>the Contract</w:t>
      </w:r>
      <w:r w:rsidRPr="00F000BE">
        <w:t xml:space="preserve"> work that the DBE has performed with the DBE’s own forces or in accordance with the provisions of this Section.  </w:t>
      </w:r>
      <w:r w:rsidRPr="00F000BE">
        <w:lastRenderedPageBreak/>
        <w:t>The Department shall be contacted in advance regarding any joint venture in</w:t>
      </w:r>
      <w:r w:rsidRPr="00F000BE">
        <w:t>volving both a DBE firm and a non-DBE firm to coordinate Department review and approval of the joint venture’s organizational structure and proposed operation where the Contractor seeks to claim the DBE’s credit toward the DBE contract goal.</w:t>
      </w:r>
    </w:p>
    <w:p w14:paraId="19E72A86" w14:textId="77777777" w:rsidR="00FB6144" w:rsidRPr="009E6D58" w:rsidRDefault="00FB6144" w:rsidP="00FB6144">
      <w:pPr>
        <w:pStyle w:val="ListParagraph"/>
        <w:ind w:left="1080"/>
        <w:jc w:val="both"/>
        <w:rPr>
          <w:b/>
        </w:rPr>
      </w:pPr>
    </w:p>
    <w:p w14:paraId="545709EE" w14:textId="77777777" w:rsidR="00FB6144" w:rsidRPr="009E6D58" w:rsidRDefault="006F56BA" w:rsidP="00FB6144">
      <w:pPr>
        <w:pStyle w:val="ListParagraph"/>
        <w:numPr>
          <w:ilvl w:val="1"/>
          <w:numId w:val="12"/>
        </w:numPr>
        <w:jc w:val="both"/>
        <w:rPr>
          <w:b/>
        </w:rPr>
      </w:pPr>
      <w:r w:rsidRPr="00F000BE">
        <w:t>When a DBE su</w:t>
      </w:r>
      <w:r w:rsidRPr="00F000BE">
        <w:t xml:space="preserve">bcontracts part of the work of </w:t>
      </w:r>
      <w:r>
        <w:t>the Contract</w:t>
      </w:r>
      <w:r w:rsidRPr="00F000BE">
        <w:t xml:space="preserve"> to another firm, the value of that subcontracted work may be counted toward the DBE contract goal only if the DBE's subcontractor at a lower tier is a certified DBE.  Work that a DBE subcontracts to either a non-</w:t>
      </w:r>
      <w:r w:rsidRPr="00F000BE">
        <w:t xml:space="preserve">DBE firm or to a non-certified DBE firm will not count toward the DBE contract goal.  The cost of supplies and equipment a DBE subcontractor purchases or leases from the prime Contractor or the prime’s affiliated firms will not count toward </w:t>
      </w:r>
      <w:r>
        <w:t>the Contract go</w:t>
      </w:r>
      <w:r>
        <w:t>al for DBE participation.</w:t>
      </w:r>
    </w:p>
    <w:p w14:paraId="2A24D298" w14:textId="77777777" w:rsidR="00FB6144" w:rsidRPr="009E6D58" w:rsidRDefault="00FB6144" w:rsidP="00FB6144">
      <w:pPr>
        <w:pStyle w:val="ListParagraph"/>
        <w:ind w:left="1080"/>
        <w:jc w:val="both"/>
        <w:rPr>
          <w:b/>
        </w:rPr>
      </w:pPr>
    </w:p>
    <w:p w14:paraId="61AFD09B" w14:textId="77777777" w:rsidR="00FB6144" w:rsidRPr="009E6D58" w:rsidRDefault="006F56BA" w:rsidP="00FB6144">
      <w:pPr>
        <w:pStyle w:val="ListParagraph"/>
        <w:numPr>
          <w:ilvl w:val="1"/>
          <w:numId w:val="12"/>
        </w:numPr>
        <w:jc w:val="both"/>
        <w:rPr>
          <w:b/>
        </w:rPr>
      </w:pPr>
      <w:r w:rsidRPr="00F000BE">
        <w:t>The Contractor may count expenditures to a DBE subcontractor toward the DBE contract goal only if the DBE performs a Commercially Useful Function (CUF) on that contract.</w:t>
      </w:r>
    </w:p>
    <w:p w14:paraId="30E2BDC6" w14:textId="77777777" w:rsidR="00FB6144" w:rsidRPr="009E6D58" w:rsidRDefault="00FB6144" w:rsidP="00FB6144">
      <w:pPr>
        <w:pStyle w:val="ListParagraph"/>
        <w:ind w:left="1080"/>
        <w:jc w:val="both"/>
        <w:rPr>
          <w:b/>
        </w:rPr>
      </w:pPr>
    </w:p>
    <w:p w14:paraId="05972B40" w14:textId="77777777" w:rsidR="00FB6144" w:rsidRPr="009E6D58" w:rsidRDefault="006F56BA" w:rsidP="00FB6144">
      <w:pPr>
        <w:pStyle w:val="ListParagraph"/>
        <w:numPr>
          <w:ilvl w:val="1"/>
          <w:numId w:val="12"/>
        </w:numPr>
        <w:jc w:val="both"/>
        <w:rPr>
          <w:b/>
        </w:rPr>
      </w:pPr>
      <w:r w:rsidRPr="00F000BE">
        <w:t>A Contractor may not count the participation of a DBE subc</w:t>
      </w:r>
      <w:r w:rsidRPr="00F000BE">
        <w:t>ontractor toward the Contractor's final compliance with the DBE contract goal obligations until the amount being counted has actually been paid to the DBE.  A Contractor may count sixty (60) percent of its expenditures actually paid for materials and suppl</w:t>
      </w:r>
      <w:r w:rsidRPr="00F000BE">
        <w:t>ies obtained from a DBE certified as a regular dealer, and one hundred (100) percent of such expenditures actually paid for materials and supplies obtained from a certified DBE manufacturer.</w:t>
      </w:r>
    </w:p>
    <w:p w14:paraId="1362F352" w14:textId="77777777" w:rsidR="00FB6144" w:rsidRPr="009E6D58" w:rsidRDefault="00FB6144" w:rsidP="00FB6144">
      <w:pPr>
        <w:pStyle w:val="ListParagraph"/>
        <w:ind w:left="1080"/>
        <w:jc w:val="both"/>
        <w:rPr>
          <w:b/>
        </w:rPr>
      </w:pPr>
    </w:p>
    <w:p w14:paraId="561D45B0" w14:textId="77777777" w:rsidR="00FB6144" w:rsidRPr="009E6D58" w:rsidRDefault="006F56BA" w:rsidP="00FB6144">
      <w:pPr>
        <w:pStyle w:val="ListParagraph"/>
        <w:numPr>
          <w:ilvl w:val="2"/>
          <w:numId w:val="12"/>
        </w:numPr>
        <w:jc w:val="both"/>
        <w:rPr>
          <w:b/>
        </w:rPr>
      </w:pPr>
      <w:r w:rsidRPr="00F000BE">
        <w:t xml:space="preserve">For the purposes of this Special Provision, a regular dealer is </w:t>
      </w:r>
      <w:r w:rsidRPr="00F000BE">
        <w:t xml:space="preserve">defined as a firm that owns, operates, or maintains a store, warehouse, or other establishment in which the materials, supplies, articles, or equipment required and used under </w:t>
      </w:r>
      <w:r>
        <w:t>the Contract</w:t>
      </w:r>
      <w:r w:rsidRPr="00F000BE">
        <w:t xml:space="preserve"> are bought, kept in stock, and regularly sold or leased to the publ</w:t>
      </w:r>
      <w:r w:rsidRPr="00F000BE">
        <w:t>ic in the usual course of business.  To be a regular dealer, the DBE firm shall be an established business that regularly engages, as its principal business and under its own name, in the purchase and sale or lease of the products or equipment in question.</w:t>
      </w:r>
      <w:r w:rsidRPr="00F000BE">
        <w:t xml:space="preserve">  Packagers, brokers, manufacturers' representatives, or other persons who arrange or expedite transactions will not be considered regular dealers.</w:t>
      </w:r>
    </w:p>
    <w:p w14:paraId="3C0753EB" w14:textId="77777777" w:rsidR="00FB6144" w:rsidRPr="009E6D58" w:rsidRDefault="00FB6144" w:rsidP="00FB6144">
      <w:pPr>
        <w:pStyle w:val="ListParagraph"/>
        <w:ind w:left="1440"/>
        <w:jc w:val="both"/>
        <w:rPr>
          <w:b/>
        </w:rPr>
      </w:pPr>
    </w:p>
    <w:p w14:paraId="002B3631" w14:textId="77777777" w:rsidR="00FB6144" w:rsidRPr="009E6D58" w:rsidRDefault="006F56BA" w:rsidP="00FB6144">
      <w:pPr>
        <w:pStyle w:val="ListParagraph"/>
        <w:numPr>
          <w:ilvl w:val="2"/>
          <w:numId w:val="12"/>
        </w:numPr>
        <w:jc w:val="both"/>
        <w:rPr>
          <w:b/>
        </w:rPr>
      </w:pPr>
      <w:r w:rsidRPr="00F000BE">
        <w:t xml:space="preserve">A DBE firm may be a regular dealer in such bulk items as petroleum products, steel, cement, gravel, stone, </w:t>
      </w:r>
      <w:r w:rsidRPr="00F000BE">
        <w:t xml:space="preserve">or asphalt without owning, operating, or maintaining a place of business where it keeps such items in stock if the DBE both owns and operates distribution equipment for the products it sells and provides for </w:t>
      </w:r>
      <w:r>
        <w:t>the Contract</w:t>
      </w:r>
      <w:r w:rsidRPr="00F000BE">
        <w:t xml:space="preserve"> work.  Any supplementation of a reg</w:t>
      </w:r>
      <w:r w:rsidRPr="00F000BE">
        <w:t xml:space="preserve">ular dealer's own distribution equipment shall be by a long-term lease agreement and not on an </w:t>
      </w:r>
      <w:r w:rsidRPr="009E6D58">
        <w:rPr>
          <w:i/>
        </w:rPr>
        <w:t>ad hoc</w:t>
      </w:r>
      <w:r w:rsidRPr="00F000BE">
        <w:t xml:space="preserve"> or contract-by-contract basis to be eligible for credit to meet the DBE contract goal.</w:t>
      </w:r>
    </w:p>
    <w:p w14:paraId="14CAA4C9" w14:textId="77777777" w:rsidR="00FB6144" w:rsidRPr="009E6D58" w:rsidRDefault="00FB6144" w:rsidP="00FB6144">
      <w:pPr>
        <w:pStyle w:val="ListParagraph"/>
        <w:ind w:left="1440"/>
        <w:jc w:val="both"/>
        <w:rPr>
          <w:b/>
        </w:rPr>
      </w:pPr>
    </w:p>
    <w:p w14:paraId="3D20623A" w14:textId="77777777" w:rsidR="00FB6144" w:rsidRPr="009E6D58" w:rsidRDefault="006F56BA" w:rsidP="00FB6144">
      <w:pPr>
        <w:pStyle w:val="ListParagraph"/>
        <w:numPr>
          <w:ilvl w:val="2"/>
          <w:numId w:val="12"/>
        </w:numPr>
        <w:jc w:val="both"/>
        <w:rPr>
          <w:b/>
        </w:rPr>
      </w:pPr>
      <w:r w:rsidRPr="00F000BE">
        <w:t>If a DBE regular dealer is used for DBE contract goal credit, no a</w:t>
      </w:r>
      <w:r w:rsidRPr="00F000BE">
        <w:t>dditional credit will be given for hauling or delivery to the project site goods or materials sold by that DBE regular dealer.  Those delivery costs shall be deemed included in the price charged for the goods or materials by the DBE regular dealer, who sha</w:t>
      </w:r>
      <w:r w:rsidRPr="00F000BE">
        <w:t>ll be responsible for their distribution.</w:t>
      </w:r>
    </w:p>
    <w:p w14:paraId="1E651D8D" w14:textId="77777777" w:rsidR="00FB6144" w:rsidRPr="009E6D58" w:rsidRDefault="00FB6144" w:rsidP="00FB6144">
      <w:pPr>
        <w:pStyle w:val="ListParagraph"/>
        <w:ind w:left="1440"/>
        <w:jc w:val="both"/>
        <w:rPr>
          <w:b/>
        </w:rPr>
      </w:pPr>
    </w:p>
    <w:p w14:paraId="282B650B" w14:textId="77777777" w:rsidR="00FB6144" w:rsidRPr="009E6D58" w:rsidRDefault="006F56BA" w:rsidP="00FB6144">
      <w:pPr>
        <w:pStyle w:val="ListParagraph"/>
        <w:numPr>
          <w:ilvl w:val="2"/>
          <w:numId w:val="12"/>
        </w:numPr>
        <w:jc w:val="both"/>
        <w:rPr>
          <w:b/>
        </w:rPr>
      </w:pPr>
      <w:r w:rsidRPr="00F000BE">
        <w:t>For the purposes of this Special Provision, a manufacturer will be defined as a firm that operates or maintains a factory or establishment that produces on the premises the materials, supplies, articles, or equipm</w:t>
      </w:r>
      <w:r w:rsidRPr="00F000BE">
        <w:t xml:space="preserve">ent required under </w:t>
      </w:r>
      <w:r>
        <w:t>the Contract</w:t>
      </w:r>
      <w:r w:rsidRPr="00F000BE">
        <w:t xml:space="preserve"> and of the general character described by the project specifications.  A manufacturer shall include firms that produce finished goods or products from raw or unfinished material, or purchase and substantially alter goods and</w:t>
      </w:r>
      <w:r w:rsidRPr="00F000BE">
        <w:t xml:space="preserve"> materials to make them suitable for construction use before reselling them.</w:t>
      </w:r>
    </w:p>
    <w:p w14:paraId="23D02107" w14:textId="77777777" w:rsidR="00FB6144" w:rsidRPr="009E6D58" w:rsidRDefault="00FB6144" w:rsidP="00FB6144">
      <w:pPr>
        <w:pStyle w:val="ListParagraph"/>
        <w:ind w:left="1440"/>
        <w:jc w:val="both"/>
        <w:rPr>
          <w:b/>
        </w:rPr>
      </w:pPr>
    </w:p>
    <w:p w14:paraId="028FCEB5" w14:textId="77777777" w:rsidR="00FB6144" w:rsidRPr="009A08ED" w:rsidRDefault="006F56BA" w:rsidP="00FB6144">
      <w:pPr>
        <w:pStyle w:val="ListParagraph"/>
        <w:numPr>
          <w:ilvl w:val="2"/>
          <w:numId w:val="12"/>
        </w:numPr>
        <w:jc w:val="both"/>
        <w:rPr>
          <w:b/>
        </w:rPr>
      </w:pPr>
      <w:r w:rsidRPr="00F000BE">
        <w:lastRenderedPageBreak/>
        <w:t>A Contractor may count toward the DBE contract goal the following expenditures to DBE firms that are not regular dealers or manufacturers for DBE program purposes:</w:t>
      </w:r>
    </w:p>
    <w:p w14:paraId="61F99BF7" w14:textId="77777777" w:rsidR="00FB6144" w:rsidRPr="009A08ED" w:rsidRDefault="00FB6144" w:rsidP="00FB6144">
      <w:pPr>
        <w:pStyle w:val="ListParagraph"/>
        <w:ind w:left="1440"/>
        <w:jc w:val="both"/>
        <w:rPr>
          <w:b/>
        </w:rPr>
      </w:pPr>
    </w:p>
    <w:p w14:paraId="3FE14500" w14:textId="77777777" w:rsidR="00FB6144" w:rsidRPr="009A08ED" w:rsidRDefault="006F56BA" w:rsidP="00FB6144">
      <w:pPr>
        <w:pStyle w:val="ListParagraph"/>
        <w:numPr>
          <w:ilvl w:val="3"/>
          <w:numId w:val="12"/>
        </w:numPr>
        <w:jc w:val="both"/>
        <w:rPr>
          <w:b/>
        </w:rPr>
      </w:pPr>
      <w:r w:rsidRPr="00F000BE">
        <w:t>The entire am</w:t>
      </w:r>
      <w:r w:rsidRPr="00F000BE">
        <w:t>ount of fees or commissions charged by a DBE firm for providing a bona fide service, such as professional, technical, consultant or managerial services, or for providing bonds or insurance specifically required for the performance of the federal-aid contra</w:t>
      </w:r>
      <w:r w:rsidRPr="00F000BE">
        <w:t>ct, if the fee is reasonable and not excessive or greater than would normally be expected by industry standards for the same or similar services.</w:t>
      </w:r>
    </w:p>
    <w:p w14:paraId="4020DB8E" w14:textId="77777777" w:rsidR="00FB6144" w:rsidRPr="009A08ED" w:rsidRDefault="00FB6144" w:rsidP="00FB6144">
      <w:pPr>
        <w:pStyle w:val="ListParagraph"/>
        <w:ind w:left="1800"/>
        <w:jc w:val="both"/>
        <w:rPr>
          <w:b/>
        </w:rPr>
      </w:pPr>
    </w:p>
    <w:p w14:paraId="4793A629" w14:textId="77777777" w:rsidR="00FB6144" w:rsidRPr="009A08ED" w:rsidRDefault="006F56BA" w:rsidP="00FB6144">
      <w:pPr>
        <w:pStyle w:val="ListParagraph"/>
        <w:numPr>
          <w:ilvl w:val="3"/>
          <w:numId w:val="12"/>
        </w:numPr>
        <w:jc w:val="both"/>
        <w:rPr>
          <w:b/>
        </w:rPr>
      </w:pPr>
      <w:r w:rsidRPr="00F000BE">
        <w:t xml:space="preserve">The entire amount of that portion of the construction contract that is performed by the DBE's own forces and </w:t>
      </w:r>
      <w:r w:rsidRPr="00F000BE">
        <w:t>equipment under the DBE's supervision.  This includes the cost of supplies and materials ordered and paid for by the DBE for contract work, including supplies purchased or equipment leased by the DBE, except supplies and equipment a DBE subcontractor purch</w:t>
      </w:r>
      <w:r w:rsidRPr="00F000BE">
        <w:t>ases or leases from the prime Contractor or its affiliates.</w:t>
      </w:r>
    </w:p>
    <w:p w14:paraId="065A48FE" w14:textId="77777777" w:rsidR="00FB6144" w:rsidRDefault="00FB6144" w:rsidP="00FB6144">
      <w:pPr>
        <w:pStyle w:val="ListParagraph"/>
        <w:ind w:left="1800"/>
        <w:jc w:val="both"/>
        <w:rPr>
          <w:b/>
        </w:rPr>
      </w:pPr>
    </w:p>
    <w:p w14:paraId="50AEE06F" w14:textId="77777777" w:rsidR="00FB6144" w:rsidRPr="009A08ED" w:rsidRDefault="006F56BA" w:rsidP="00FB6144">
      <w:pPr>
        <w:pStyle w:val="ListParagraph"/>
        <w:numPr>
          <w:ilvl w:val="2"/>
          <w:numId w:val="12"/>
        </w:numPr>
        <w:jc w:val="both"/>
        <w:rPr>
          <w:b/>
        </w:rPr>
      </w:pPr>
      <w:r w:rsidRPr="00F000BE">
        <w:t>A Contractor may count toward the DBE contract goal one hundred (100) percent of the fees paid to a DBE trucker or hauler for the delivery of material and supplies required on the project job sit</w:t>
      </w:r>
      <w:r w:rsidRPr="00F000BE">
        <w:t>e, but not for the cost of those materials or supplies themselves, provided that the trucking or hauling fee is determined by VDOT to be reasonable, as compared with fees customarily charged by non-DBE firms for similar services.  A Contractor shall not co</w:t>
      </w:r>
      <w:r w:rsidRPr="00F000BE">
        <w:t>unt costs for the removal or relocation of excess material from or on the job site when the DBE trucking company is not the manufacturer of or a regular dealer in those materials and supplies.  The DBE trucking firm shall also perform a Commercially Useful</w:t>
      </w:r>
      <w:r w:rsidRPr="00F000BE">
        <w:t xml:space="preserve"> Function (CUF) on the project and not operate merely as a pass through for the purposes of gaining credit toward the DBE contract goal.  Prior to submitting a bid, the Contractor shall determine, or contact the VDOT Civil Rights Division or its district O</w:t>
      </w:r>
      <w:r w:rsidRPr="00F000BE">
        <w:t xml:space="preserve">ffices for assistance in determining, whether a DBE trucking firm will meet the criteria for performing a CUF on the project. See section on </w:t>
      </w:r>
      <w:r w:rsidRPr="009A08ED">
        <w:rPr>
          <w:b/>
        </w:rPr>
        <w:t>Miscellaneous DBE Program Requirements; Factors used to Determine if a DBE Trucking Firm is Performing a CUF</w:t>
      </w:r>
      <w:r w:rsidRPr="00F000BE">
        <w:t>.</w:t>
      </w:r>
    </w:p>
    <w:p w14:paraId="5FE4E9F3" w14:textId="77777777" w:rsidR="00FB6144" w:rsidRPr="009A08ED" w:rsidRDefault="00FB6144" w:rsidP="00FB6144">
      <w:pPr>
        <w:pStyle w:val="ListParagraph"/>
        <w:ind w:left="1440"/>
        <w:jc w:val="both"/>
        <w:rPr>
          <w:b/>
        </w:rPr>
      </w:pPr>
    </w:p>
    <w:p w14:paraId="6BEFF122" w14:textId="77777777" w:rsidR="00FB6144" w:rsidRPr="009A08ED" w:rsidRDefault="006F56BA" w:rsidP="00FB6144">
      <w:pPr>
        <w:pStyle w:val="ListParagraph"/>
        <w:numPr>
          <w:ilvl w:val="2"/>
          <w:numId w:val="12"/>
        </w:numPr>
        <w:jc w:val="both"/>
        <w:rPr>
          <w:b/>
        </w:rPr>
      </w:pPr>
      <w:r w:rsidRPr="00F000BE">
        <w:t xml:space="preserve">The </w:t>
      </w:r>
      <w:r w:rsidRPr="00F000BE">
        <w:t>Contractor will receive DBE contract goal credit for the fees or commissions charged by and paid to a DBE broker who arranges or expedites sales, leases, or other project work or service arrangements provided that those fees are determined by VDOT to be re</w:t>
      </w:r>
      <w:r w:rsidRPr="00F000BE">
        <w:t>asonable and not excessive as compared with fees customarily charged by non-DBE firms for similar services.  For the purposes of this Special Provision, a broker is defined as a person or firm that regularly engages in arranging for delivery of material, s</w:t>
      </w:r>
      <w:r w:rsidRPr="00F000BE">
        <w:t xml:space="preserve">upplies, and equipment, or regularly arranges for the providing of project services as a course of routine business but does not own or operate the delivery equipment necessary to transport materials, supplies, or equipment to or from a job site.  </w:t>
      </w:r>
    </w:p>
    <w:p w14:paraId="6F0287BB" w14:textId="77777777" w:rsidR="00FB6144" w:rsidRPr="00F000BE" w:rsidRDefault="00FB6144" w:rsidP="00FB6144">
      <w:pPr>
        <w:ind w:left="720"/>
        <w:jc w:val="both"/>
        <w:rPr>
          <w:b/>
          <w:bCs/>
          <w:snapToGrid w:val="0"/>
        </w:rPr>
      </w:pPr>
    </w:p>
    <w:p w14:paraId="4F1DFDCE" w14:textId="77777777" w:rsidR="00FB6144" w:rsidRPr="00815945" w:rsidRDefault="006F56BA" w:rsidP="00FB6144">
      <w:pPr>
        <w:pStyle w:val="ListParagraph"/>
        <w:numPr>
          <w:ilvl w:val="0"/>
          <w:numId w:val="12"/>
        </w:numPr>
        <w:jc w:val="both"/>
        <w:rPr>
          <w:b/>
          <w:bCs/>
          <w:snapToGrid w:val="0"/>
        </w:rPr>
      </w:pPr>
      <w:r w:rsidRPr="00815945">
        <w:rPr>
          <w:b/>
          <w:bCs/>
          <w:snapToGrid w:val="0"/>
        </w:rPr>
        <w:t>Perfor</w:t>
      </w:r>
      <w:r w:rsidRPr="00815945">
        <w:rPr>
          <w:b/>
          <w:bCs/>
          <w:snapToGrid w:val="0"/>
        </w:rPr>
        <w:t>ming a Commercially Useful Function (CUF)</w:t>
      </w:r>
    </w:p>
    <w:p w14:paraId="4C9E9ED4" w14:textId="77777777" w:rsidR="00FB6144" w:rsidRPr="00F000BE" w:rsidRDefault="00FB6144" w:rsidP="00FB6144">
      <w:pPr>
        <w:ind w:left="720"/>
        <w:jc w:val="both"/>
        <w:rPr>
          <w:b/>
          <w:bCs/>
          <w:snapToGrid w:val="0"/>
        </w:rPr>
      </w:pPr>
    </w:p>
    <w:p w14:paraId="7C40006E" w14:textId="77777777" w:rsidR="00FB6144" w:rsidRPr="00F000BE" w:rsidRDefault="006F56BA" w:rsidP="00FB6144">
      <w:pPr>
        <w:ind w:left="720"/>
        <w:jc w:val="both"/>
      </w:pPr>
      <w:r w:rsidRPr="00F000BE">
        <w:rPr>
          <w:snapToGrid w:val="0"/>
        </w:rPr>
        <w:t xml:space="preserve">No credit toward the DBE contract goal will be allowed for contract payments or expenditures to a DBE firm if that DBE firm does not perform a CUF on that contract.  </w:t>
      </w:r>
      <w:r w:rsidRPr="00F000BE">
        <w:t>A DBE performs a CUF when the DBE is solely res</w:t>
      </w:r>
      <w:r w:rsidRPr="00F000BE">
        <w:t xml:space="preserve">ponsible for execution of a distinct element of </w:t>
      </w:r>
      <w:r>
        <w:t>the Contract</w:t>
      </w:r>
      <w:r w:rsidRPr="00F000BE">
        <w:t xml:space="preserve"> work and the DBE actually performs, manages, and supervises the work involved with the firm’s own forces or in accordance with the provisions of the </w:t>
      </w:r>
      <w:r w:rsidRPr="00F000BE">
        <w:rPr>
          <w:b/>
          <w:bCs/>
        </w:rPr>
        <w:t>DBE Participation for Contract Goal Credit</w:t>
      </w:r>
      <w:r w:rsidRPr="00F000BE">
        <w:t xml:space="preserve"> section of this Special Provision.  To perform a CUF the DBE alone shall be responsible and bear the risk for the material and supplies used on </w:t>
      </w:r>
      <w:r>
        <w:t>the Contract</w:t>
      </w:r>
      <w:r w:rsidRPr="00F000BE">
        <w:t>, selecting a supplier or dealer from those available, negotiating price, determining quality and q</w:t>
      </w:r>
      <w:r w:rsidRPr="00F000BE">
        <w:t xml:space="preserve">uantity, ordering the material and supplies, installing those materials with the DBE’s own forces and equipment, and paying for those materials and supplies.  The amount the DBE firm is to be paid under </w:t>
      </w:r>
      <w:r>
        <w:t>the Contract</w:t>
      </w:r>
      <w:r w:rsidRPr="00F000BE">
        <w:t xml:space="preserve"> shall be commensurate with the work the </w:t>
      </w:r>
      <w:r w:rsidRPr="00F000BE">
        <w:t>DBE actually performs and the DBE credit claimed for the DBE’s performance.</w:t>
      </w:r>
    </w:p>
    <w:p w14:paraId="3E5D7EDC" w14:textId="77777777" w:rsidR="00FB6144" w:rsidRPr="00F000BE" w:rsidRDefault="00FB6144" w:rsidP="00FB6144">
      <w:pPr>
        <w:ind w:left="720"/>
        <w:jc w:val="both"/>
        <w:rPr>
          <w:snapToGrid w:val="0"/>
        </w:rPr>
      </w:pPr>
    </w:p>
    <w:p w14:paraId="23D8A45A" w14:textId="77777777" w:rsidR="00FB6144" w:rsidRPr="009A08ED" w:rsidRDefault="006F56BA" w:rsidP="00FB6144">
      <w:pPr>
        <w:ind w:left="720"/>
        <w:jc w:val="both"/>
      </w:pPr>
      <w:r w:rsidRPr="00F000BE">
        <w:rPr>
          <w:b/>
          <w:snapToGrid w:val="0"/>
        </w:rPr>
        <w:t>Monitoring CUF Performance</w:t>
      </w:r>
      <w:r w:rsidRPr="00F000BE">
        <w:rPr>
          <w:snapToGrid w:val="0"/>
        </w:rPr>
        <w:t xml:space="preserve">: </w:t>
      </w:r>
      <w:r w:rsidRPr="00F000BE">
        <w:t xml:space="preserve">It shall be the Contractor's responsibility to ensure that all DBE firms selected for subcontract work on </w:t>
      </w:r>
      <w:r>
        <w:t>the Contract</w:t>
      </w:r>
      <w:r w:rsidRPr="00F000BE">
        <w:t>, for which he seeks to claim cre</w:t>
      </w:r>
      <w:r w:rsidRPr="00F000BE">
        <w:t xml:space="preserve">dit toward </w:t>
      </w:r>
      <w:r>
        <w:t>the Contract</w:t>
      </w:r>
      <w:r w:rsidRPr="00F000BE">
        <w:t xml:space="preserve"> goal, perform a CUF. Further, the Contractor is responsible for and shall ensure that each DBE firm fully performs the DBE’s designated tasks with the DBE’s own forces and equipment under the DBE’s own direct supervision and managem</w:t>
      </w:r>
      <w:r w:rsidRPr="00F000BE">
        <w:t xml:space="preserve">ent or in accordance with the provisions of the </w:t>
      </w:r>
      <w:r w:rsidRPr="00F000BE">
        <w:rPr>
          <w:b/>
          <w:bCs/>
        </w:rPr>
        <w:t>DBE Participation for Contract Goal Credit</w:t>
      </w:r>
      <w:r w:rsidRPr="00F000BE">
        <w:rPr>
          <w:b/>
        </w:rPr>
        <w:t xml:space="preserve"> </w:t>
      </w:r>
      <w:r w:rsidRPr="00F000BE">
        <w:t>section of this Special Provision.  For the purposes of this provision the DBE‘s equipment will mean either equipment directly owned by the DBE as evidenced by title</w:t>
      </w:r>
      <w:r w:rsidRPr="00F000BE">
        <w:t>, bill of sale or other such documentation, or leased by the DBE, and over which the DBE has control as evidenced by the leasing agreement from a firm not owned in whole or part by the prime Contractor or an affiliate of the Contractor under this contract.</w:t>
      </w:r>
    </w:p>
    <w:p w14:paraId="4925CFC9" w14:textId="77777777" w:rsidR="00FB6144" w:rsidRPr="00F000BE" w:rsidRDefault="00FB6144" w:rsidP="00FB6144">
      <w:pPr>
        <w:ind w:left="720"/>
        <w:jc w:val="both"/>
      </w:pPr>
    </w:p>
    <w:p w14:paraId="4AA1299C" w14:textId="77777777" w:rsidR="00FB6144" w:rsidRPr="00F000BE" w:rsidRDefault="006F56BA" w:rsidP="00FB6144">
      <w:pPr>
        <w:ind w:left="720"/>
        <w:jc w:val="both"/>
      </w:pPr>
      <w:r w:rsidRPr="00F000BE">
        <w:t xml:space="preserve">VDOT will monitor the Contractor’s DBE involvement during the performance of </w:t>
      </w:r>
      <w:r>
        <w:t>the Contract</w:t>
      </w:r>
      <w:r w:rsidRPr="00F000BE">
        <w:t>.  However, VDOT is under no obligation to warn the Contractor that a DBE's participation will not count toward the goal.</w:t>
      </w:r>
    </w:p>
    <w:p w14:paraId="23C62C7A" w14:textId="77777777" w:rsidR="00FB6144" w:rsidRPr="00F000BE" w:rsidRDefault="00FB6144" w:rsidP="00FB6144">
      <w:pPr>
        <w:ind w:left="720"/>
        <w:jc w:val="both"/>
        <w:rPr>
          <w:i/>
          <w:snapToGrid w:val="0"/>
        </w:rPr>
      </w:pPr>
    </w:p>
    <w:p w14:paraId="04A4FFE4" w14:textId="77777777" w:rsidR="00FB6144" w:rsidRPr="00F000BE" w:rsidRDefault="006F56BA" w:rsidP="00FB6144">
      <w:pPr>
        <w:ind w:left="720"/>
        <w:jc w:val="both"/>
        <w:rPr>
          <w:snapToGrid w:val="0"/>
        </w:rPr>
      </w:pPr>
      <w:r w:rsidRPr="00F000BE">
        <w:rPr>
          <w:b/>
          <w:snapToGrid w:val="0"/>
        </w:rPr>
        <w:t>DBEs Must Perform a Useful and Necessary R</w:t>
      </w:r>
      <w:r w:rsidRPr="00F000BE">
        <w:rPr>
          <w:b/>
          <w:snapToGrid w:val="0"/>
        </w:rPr>
        <w:t xml:space="preserve">ole in Contract Completion: </w:t>
      </w:r>
      <w:r w:rsidRPr="00F000BE">
        <w:rPr>
          <w:snapToGrid w:val="0"/>
        </w:rPr>
        <w:t>A DBE does not perform a commercially useful function if the DBE’s role is limited to that of an extra participant in a transaction, contract, or project through which funds are passed in order to obtain the appearance of DBE pa</w:t>
      </w:r>
      <w:r w:rsidRPr="00F000BE">
        <w:rPr>
          <w:snapToGrid w:val="0"/>
        </w:rPr>
        <w:t>rticipation.</w:t>
      </w:r>
    </w:p>
    <w:p w14:paraId="48F990D0" w14:textId="77777777" w:rsidR="00FB6144" w:rsidRPr="00F000BE" w:rsidRDefault="00FB6144" w:rsidP="00FB6144">
      <w:pPr>
        <w:ind w:left="1080"/>
        <w:jc w:val="both"/>
        <w:rPr>
          <w:b/>
          <w:snapToGrid w:val="0"/>
        </w:rPr>
      </w:pPr>
    </w:p>
    <w:p w14:paraId="2935643D" w14:textId="77777777" w:rsidR="00FB6144" w:rsidRPr="00F000BE" w:rsidRDefault="006F56BA" w:rsidP="00FB6144">
      <w:pPr>
        <w:ind w:left="720"/>
        <w:jc w:val="both"/>
        <w:rPr>
          <w:b/>
          <w:snapToGrid w:val="0"/>
        </w:rPr>
      </w:pPr>
      <w:r w:rsidRPr="00F000BE">
        <w:rPr>
          <w:b/>
          <w:snapToGrid w:val="0"/>
        </w:rPr>
        <w:t xml:space="preserve">DBEs Must Perform The Contract Work With Their Own Workforces: </w:t>
      </w:r>
      <w:r w:rsidRPr="00F000BE">
        <w:rPr>
          <w:snapToGrid w:val="0"/>
        </w:rPr>
        <w:t>If a DBE does not perform and exercise responsibility for at least thirty (30) percent of the total cost of the DBE’s contract with the DBE’s own work force, or the DBE subcontrac</w:t>
      </w:r>
      <w:r w:rsidRPr="00F000BE">
        <w:rPr>
          <w:snapToGrid w:val="0"/>
        </w:rPr>
        <w:t xml:space="preserve">ts a greater portion of the work of a contract than would be expected on the basis of normal industry practice for the type of work involve, VDOT will presume that the DBE is not performing a CUF and such participation will not be counted toward </w:t>
      </w:r>
      <w:r>
        <w:rPr>
          <w:snapToGrid w:val="0"/>
        </w:rPr>
        <w:t>the Contra</w:t>
      </w:r>
      <w:r>
        <w:rPr>
          <w:snapToGrid w:val="0"/>
        </w:rPr>
        <w:t>ct</w:t>
      </w:r>
      <w:r w:rsidRPr="00F000BE">
        <w:rPr>
          <w:snapToGrid w:val="0"/>
        </w:rPr>
        <w:t xml:space="preserve"> goal.</w:t>
      </w:r>
    </w:p>
    <w:p w14:paraId="0053487D" w14:textId="77777777" w:rsidR="00FB6144" w:rsidRPr="00F000BE" w:rsidRDefault="00FB6144" w:rsidP="00FB6144">
      <w:pPr>
        <w:ind w:left="1440" w:hanging="360"/>
        <w:jc w:val="both"/>
        <w:rPr>
          <w:snapToGrid w:val="0"/>
        </w:rPr>
      </w:pPr>
    </w:p>
    <w:p w14:paraId="16108C19" w14:textId="77777777" w:rsidR="00FB6144" w:rsidRPr="00F000BE" w:rsidRDefault="006F56BA" w:rsidP="00FB6144">
      <w:pPr>
        <w:ind w:left="720"/>
        <w:jc w:val="both"/>
        <w:rPr>
          <w:b/>
          <w:snapToGrid w:val="0"/>
        </w:rPr>
      </w:pPr>
      <w:r w:rsidRPr="00F000BE">
        <w:rPr>
          <w:b/>
          <w:snapToGrid w:val="0"/>
        </w:rPr>
        <w:t xml:space="preserve">VDOT Makes Final Determination On Whether a CUF Is Performed: </w:t>
      </w:r>
      <w:r w:rsidRPr="00F000BE">
        <w:rPr>
          <w:snapToGrid w:val="0"/>
        </w:rPr>
        <w:t xml:space="preserve">VDOT has the final authority to determine whether a DBE firm has performed a CUF on a federal-aid contract.  To determine whether a DBE is performing or has performed a CUF, VDOT will </w:t>
      </w:r>
      <w:r w:rsidRPr="00F000BE">
        <w:rPr>
          <w:snapToGrid w:val="0"/>
        </w:rPr>
        <w:t>evaluate the amount of work subcontracted by that DBE firm or performed by other firms and the extent of the involvement of other firms’ forces and equipment.  Any DBE work performed by the Contractor or by employees or equipment of the Contractor shall be</w:t>
      </w:r>
      <w:r w:rsidRPr="00F000BE">
        <w:rPr>
          <w:snapToGrid w:val="0"/>
        </w:rPr>
        <w:t xml:space="preserve"> subject to disallowance under the DBE Program, unless the independent validity and need for such an arrangement and work is demonstrated.</w:t>
      </w:r>
    </w:p>
    <w:p w14:paraId="13DB66C4" w14:textId="77777777" w:rsidR="00FB6144" w:rsidRPr="00F000BE" w:rsidRDefault="00FB6144" w:rsidP="00FB6144">
      <w:pPr>
        <w:ind w:left="1080"/>
        <w:jc w:val="both"/>
        <w:rPr>
          <w:snapToGrid w:val="0"/>
        </w:rPr>
      </w:pPr>
    </w:p>
    <w:p w14:paraId="63021A37" w14:textId="77777777" w:rsidR="00FB6144" w:rsidRPr="00F000BE" w:rsidRDefault="006F56BA" w:rsidP="00FB6144">
      <w:pPr>
        <w:pStyle w:val="ListParagraph"/>
        <w:numPr>
          <w:ilvl w:val="0"/>
          <w:numId w:val="12"/>
        </w:numPr>
        <w:jc w:val="both"/>
      </w:pPr>
      <w:r w:rsidRPr="00815945">
        <w:rPr>
          <w:b/>
        </w:rPr>
        <w:t>Verification of DBE Participation and Imposed Damages</w:t>
      </w:r>
    </w:p>
    <w:p w14:paraId="62B49809" w14:textId="77777777" w:rsidR="00FB6144" w:rsidRPr="00F000BE" w:rsidRDefault="00FB6144" w:rsidP="00FB6144">
      <w:pPr>
        <w:ind w:left="720"/>
        <w:jc w:val="both"/>
      </w:pPr>
    </w:p>
    <w:p w14:paraId="45397E71" w14:textId="77777777" w:rsidR="00FB6144" w:rsidRPr="00F000BE" w:rsidRDefault="006F56BA" w:rsidP="00FB6144">
      <w:pPr>
        <w:ind w:left="720"/>
        <w:jc w:val="both"/>
      </w:pPr>
      <w:r w:rsidRPr="00F000BE">
        <w:t>Within fourteen days after contract execution, the Contractor</w:t>
      </w:r>
      <w:r w:rsidRPr="00F000BE">
        <w:t xml:space="preserve"> shall submit to the Responsible</w:t>
      </w:r>
      <w:r w:rsidRPr="00F000BE">
        <w:rPr>
          <w:b/>
        </w:rPr>
        <w:t xml:space="preserve"> </w:t>
      </w:r>
      <w:r w:rsidRPr="00F000BE">
        <w:t xml:space="preserve">Engineer, with a copy to the District Civil Rights Office (DCRO), </w:t>
      </w:r>
      <w:r w:rsidRPr="00F000BE">
        <w:rPr>
          <w:spacing w:val="-2"/>
        </w:rPr>
        <w:t>a fully executed subcontract agreement for each DBE used to claim credit in accordance with the requirements stated on Form C-112.  The subcontract agreement</w:t>
      </w:r>
      <w:r w:rsidRPr="00F000BE">
        <w:rPr>
          <w:spacing w:val="-2"/>
        </w:rPr>
        <w:t xml:space="preserve"> shall be executed by both parties stating the work to be performed, the details or specifics concerning such work, and the price which will be paid to the DBE subcontractor.  </w:t>
      </w:r>
      <w:r w:rsidRPr="00F000BE">
        <w:t>Because of the commercial damage that the Contractor and its DBE subcontractor c</w:t>
      </w:r>
      <w:r w:rsidRPr="00F000BE">
        <w:t>ould suffer if their subcontract pricing, terms, and conditions were known to competitors, the Department staff will treat subcontract agreements as proprietary Contractor trade secrets with regard to Freedom of Information Act requests.  In lieu of subcon</w:t>
      </w:r>
      <w:r w:rsidRPr="00F000BE">
        <w:t>tract agreements, purchase orders may be submitted for haulers, suppliers, and manufacturers.  These too, will be treated confidentially and protected. Such purchase orders must contain, as a minimum, the following information: authorized signatures of bot</w:t>
      </w:r>
      <w:r w:rsidRPr="00F000BE">
        <w:t>h parties; description of the scope of work to include contract item numbers, quantities, and prices; and required federal contract provisions.</w:t>
      </w:r>
    </w:p>
    <w:p w14:paraId="49B4817A" w14:textId="77777777" w:rsidR="00FB6144" w:rsidRPr="00F000BE" w:rsidRDefault="00FB6144" w:rsidP="00FB6144">
      <w:pPr>
        <w:ind w:left="1080"/>
        <w:jc w:val="both"/>
      </w:pPr>
    </w:p>
    <w:p w14:paraId="2CD809A7" w14:textId="77777777" w:rsidR="00FB6144" w:rsidRPr="00F000BE" w:rsidRDefault="006F56BA" w:rsidP="00FB6144">
      <w:pPr>
        <w:ind w:left="720"/>
        <w:jc w:val="both"/>
      </w:pPr>
      <w:r w:rsidRPr="00F000BE">
        <w:lastRenderedPageBreak/>
        <w:t>The Contractor shall also furnish, and shall require each subcontractor to furnish, information relative to all</w:t>
      </w:r>
      <w:r w:rsidRPr="00F000BE">
        <w:t xml:space="preserve"> DBE involvement on the project for each quarter during the life of </w:t>
      </w:r>
      <w:r>
        <w:t>the Contract</w:t>
      </w:r>
      <w:r w:rsidRPr="00F000BE">
        <w:t xml:space="preserve"> in which participation occurs and verification is available.  The information shall be indicated on Form C-63, </w:t>
      </w:r>
      <w:r w:rsidRPr="00F000BE">
        <w:rPr>
          <w:rFonts w:cs="Arial"/>
        </w:rPr>
        <w:t>DBE and SWAM Payment Compliance Report</w:t>
      </w:r>
      <w:r w:rsidRPr="00F000BE">
        <w:t>.  The department reserves</w:t>
      </w:r>
      <w:r w:rsidRPr="00F000BE">
        <w:t xml:space="preserve"> the right to request proof of payment via copies of cancelled checks with appropriate identifying notations. Failure to provide Form C-63 to the District Civil Rights Office (DCRO) within five (5) business days after the reporting period may result in del</w:t>
      </w:r>
      <w:r w:rsidRPr="00F000BE">
        <w:t>ay of approval of the Contractor’s monthly progress estimate for payment.  The names and certification numbers of DBE firms provided by the Contractor on the various forms indicated in this Special Provision shall be exactly as shown on the DMBE’s or MWAA’</w:t>
      </w:r>
      <w:r w:rsidRPr="00F000BE">
        <w:t>s latest list of certified DBEs.  Signatures on all forms indicated herein shall be those of authorized representatives of the Contractor as shown on the Prequalification Application, Form C-32 or the Prequalification/Certification Renewal Application, For</w:t>
      </w:r>
      <w:r w:rsidRPr="00F000BE">
        <w:t>m C-32A, or authorized by letter from the Contractor.  If DBE firms are used which have not been previously documented with the Contractor’s bid and for which the Contractor now desires to claim credit toward the project goal, the Contractor shall be respo</w:t>
      </w:r>
      <w:r w:rsidRPr="00F000BE">
        <w:t xml:space="preserve">nsible for submitting necessary documentation in accordance with the procedures stipulated in this Special Provision to cover such work prior to the DBE beginning work. </w:t>
      </w:r>
    </w:p>
    <w:p w14:paraId="76F70775" w14:textId="77777777" w:rsidR="00FB6144" w:rsidRPr="00F000BE" w:rsidRDefault="00FB6144" w:rsidP="00FB6144">
      <w:pPr>
        <w:ind w:left="720"/>
        <w:jc w:val="both"/>
      </w:pPr>
    </w:p>
    <w:p w14:paraId="7DE611C1" w14:textId="77777777" w:rsidR="00FB6144" w:rsidRPr="00F000BE" w:rsidRDefault="006F56BA" w:rsidP="00FB6144">
      <w:pPr>
        <w:ind w:left="1080" w:hanging="360"/>
      </w:pPr>
      <w:r w:rsidRPr="00F000BE">
        <w:t xml:space="preserve">Form C-63 can be obtained from the VDOT website at: </w:t>
      </w:r>
      <w:hyperlink r:id="rId14" w:history="1">
        <w:r w:rsidRPr="00F000BE">
          <w:rPr>
            <w:rStyle w:val="Hyperlink"/>
            <w:i/>
          </w:rPr>
          <w:t>http://vdotforms.vdot.virginia.gov/</w:t>
        </w:r>
      </w:hyperlink>
    </w:p>
    <w:p w14:paraId="7E441BDC" w14:textId="77777777" w:rsidR="00FB6144" w:rsidRPr="00F000BE" w:rsidRDefault="00FB6144" w:rsidP="00FB6144">
      <w:pPr>
        <w:ind w:left="720"/>
        <w:jc w:val="both"/>
      </w:pPr>
    </w:p>
    <w:p w14:paraId="15EDC5C7" w14:textId="77777777" w:rsidR="00FB6144" w:rsidRPr="00F000BE" w:rsidRDefault="006F56BA" w:rsidP="00FB6144">
      <w:pPr>
        <w:ind w:left="720"/>
        <w:jc w:val="both"/>
      </w:pPr>
      <w:r w:rsidRPr="00F000BE">
        <w:t>The Contractor shall submit to the Responsible Engineer its progress schedule with a copy to the DCRO, as required by Section 108.03 of the Specifications or other such specific contract scheduling sp</w:t>
      </w:r>
      <w:r w:rsidRPr="00F000BE">
        <w:t>ecification that may include contractual milestones, i.e., monthly or VDOT requested updates.  The Contractor shall include a narrative of applicable DBE activities relative to work activities of the Contractor’s progress schedule, including the approximat</w:t>
      </w:r>
      <w:r w:rsidRPr="00F000BE">
        <w:t xml:space="preserve">e start times and durations of all DBE participation to be claimed for credit that shall result in full achievement of the DBE goal required in </w:t>
      </w:r>
      <w:r>
        <w:t>the Contract</w:t>
      </w:r>
      <w:r w:rsidRPr="00F000BE">
        <w:t>.</w:t>
      </w:r>
    </w:p>
    <w:p w14:paraId="5DC92AB3" w14:textId="77777777" w:rsidR="00FB6144" w:rsidRPr="00F000BE" w:rsidRDefault="00FB6144" w:rsidP="00FB6144">
      <w:pPr>
        <w:ind w:left="720"/>
        <w:jc w:val="both"/>
      </w:pPr>
    </w:p>
    <w:p w14:paraId="0977F2D7" w14:textId="77777777" w:rsidR="00FB6144" w:rsidRPr="00F000BE" w:rsidRDefault="006F56BA" w:rsidP="00FB6144">
      <w:pPr>
        <w:ind w:left="720"/>
        <w:jc w:val="both"/>
      </w:pPr>
      <w:r w:rsidRPr="00F000BE">
        <w:t xml:space="preserve">On contracts awarded on the basis of good faith efforts, narratives or other agreeable format of </w:t>
      </w:r>
      <w:r w:rsidRPr="00F000BE">
        <w:t>schedule information requirements and subsequent progress determination shall be based on the commitment information shown on the latest Form C-111 as compared with the appropriate Form C-63.</w:t>
      </w:r>
    </w:p>
    <w:p w14:paraId="59ABE577" w14:textId="77777777" w:rsidR="00FB6144" w:rsidRPr="00F000BE" w:rsidRDefault="00FB6144" w:rsidP="00FB6144">
      <w:pPr>
        <w:suppressAutoHyphens/>
        <w:ind w:left="720"/>
        <w:jc w:val="both"/>
      </w:pPr>
    </w:p>
    <w:p w14:paraId="328EEB63" w14:textId="77777777" w:rsidR="00FB6144" w:rsidRPr="00F000BE" w:rsidRDefault="006F56BA" w:rsidP="00FB6144">
      <w:pPr>
        <w:ind w:left="720"/>
        <w:jc w:val="both"/>
      </w:pPr>
      <w:r w:rsidRPr="00F000BE">
        <w:t>Prior to beginning any major component or quarter of the work, as applicable, in which DBE work is to be performed, the Contractor shall furnish a revised Form C-111 showing the name(s) and certification number(s) of any current DBEs not previously submitt</w:t>
      </w:r>
      <w:r w:rsidRPr="00F000BE">
        <w:t xml:space="preserve">ed who will perform the work during that major component or quarter for which the Contractor seeks to claim credit toward </w:t>
      </w:r>
      <w:r>
        <w:t>the Contract</w:t>
      </w:r>
      <w:r w:rsidRPr="00F000BE">
        <w:t xml:space="preserve"> DBE goal.  The Contractor shall obtain the prior approval of the Department for any assistance it may provide to the DBE </w:t>
      </w:r>
      <w:r w:rsidRPr="00F000BE">
        <w:t xml:space="preserve">beyond its existing resources in executing its commitment to the work in accordance with the requirements listed in the </w:t>
      </w:r>
      <w:r w:rsidRPr="00F000BE">
        <w:rPr>
          <w:b/>
          <w:bCs/>
        </w:rPr>
        <w:t>Good Faith Efforts Described</w:t>
      </w:r>
      <w:r w:rsidRPr="00F000BE">
        <w:t xml:space="preserve"> section of this Special Provision.  If the Contractor is aware of any assistance beyond a DBE’s existing re</w:t>
      </w:r>
      <w:r w:rsidRPr="00F000BE">
        <w:t>sources that the Contractor, or another subcontractor, may be contemplating or may deem necessary and that have not been previously approved, the Contractor shall submit a new or revised narrative statement for VDOT’s approval prior to assistance being ren</w:t>
      </w:r>
      <w:r w:rsidRPr="00F000BE">
        <w:t>dered.</w:t>
      </w:r>
    </w:p>
    <w:p w14:paraId="2FE8F0AF" w14:textId="77777777" w:rsidR="00FB6144" w:rsidRPr="00F000BE" w:rsidRDefault="00FB6144" w:rsidP="00FB6144">
      <w:pPr>
        <w:ind w:left="720"/>
        <w:jc w:val="both"/>
      </w:pPr>
    </w:p>
    <w:p w14:paraId="16663A80" w14:textId="77777777" w:rsidR="00FB6144" w:rsidRPr="00F000BE" w:rsidRDefault="006F56BA" w:rsidP="00FB6144">
      <w:pPr>
        <w:ind w:left="720"/>
        <w:jc w:val="both"/>
      </w:pPr>
      <w:r w:rsidRPr="00F000BE">
        <w:t>If the Contractor fails to comply with correctly completing and submitting any of the required documentation requested by this provision within the specified time frames, the Department will withhold payment of the monthly progress estimate until s</w:t>
      </w:r>
      <w:r w:rsidRPr="00F000BE">
        <w:t xml:space="preserve">uch time as the required submissions are received VDOT.  Where such failures to provide required submittals or documentation are repeated the Department will move to enjoin </w:t>
      </w:r>
      <w:r w:rsidRPr="00F000BE">
        <w:rPr>
          <w:rFonts w:cs="Arial"/>
        </w:rPr>
        <w:t>the Contractor and any prime contractual affiliates, as in the case of a joint vent</w:t>
      </w:r>
      <w:r w:rsidRPr="00F000BE">
        <w:rPr>
          <w:rFonts w:cs="Arial"/>
        </w:rPr>
        <w:t>ure, from bidding as a prime Contractor, or participating as a subcontractor on VDOT projects until</w:t>
      </w:r>
      <w:r w:rsidRPr="00F000BE">
        <w:t xml:space="preserve"> such submissions are received.</w:t>
      </w:r>
    </w:p>
    <w:p w14:paraId="6ADEFA91" w14:textId="77777777" w:rsidR="00FB6144" w:rsidRPr="00F000BE" w:rsidRDefault="00FB6144" w:rsidP="00FB6144">
      <w:pPr>
        <w:ind w:left="720"/>
        <w:jc w:val="both"/>
      </w:pPr>
    </w:p>
    <w:p w14:paraId="073F841E" w14:textId="77777777" w:rsidR="00FB6144" w:rsidRPr="00815945" w:rsidRDefault="006F56BA" w:rsidP="00FB6144">
      <w:pPr>
        <w:pStyle w:val="ListParagraph"/>
        <w:numPr>
          <w:ilvl w:val="0"/>
          <w:numId w:val="12"/>
        </w:numPr>
        <w:jc w:val="both"/>
        <w:rPr>
          <w:b/>
        </w:rPr>
      </w:pPr>
      <w:r w:rsidRPr="00815945">
        <w:rPr>
          <w:b/>
        </w:rPr>
        <w:t>Documentation Required for Semi-final Payment</w:t>
      </w:r>
    </w:p>
    <w:p w14:paraId="2ABC148B" w14:textId="77777777" w:rsidR="00FB6144" w:rsidRPr="00F000BE" w:rsidRDefault="00FB6144" w:rsidP="00FB6144">
      <w:pPr>
        <w:ind w:left="720"/>
        <w:jc w:val="both"/>
      </w:pPr>
    </w:p>
    <w:p w14:paraId="0C6CE154" w14:textId="77777777" w:rsidR="00FB6144" w:rsidRPr="00F000BE" w:rsidRDefault="006F56BA" w:rsidP="00FB6144">
      <w:pPr>
        <w:ind w:left="720"/>
        <w:jc w:val="both"/>
      </w:pPr>
      <w:r w:rsidRPr="00F000BE">
        <w:lastRenderedPageBreak/>
        <w:t xml:space="preserve">On those projects nearing completion, the Contractor must submit Form C-63 marked “Semi-Final” within twenty (20) days after the submission of the last regular monthly progress estimate to the DCRO. The form must include each DBE used on </w:t>
      </w:r>
      <w:r>
        <w:t>the Contract</w:t>
      </w:r>
      <w:r w:rsidRPr="00F000BE">
        <w:t xml:space="preserve"> work </w:t>
      </w:r>
      <w:r w:rsidRPr="00F000BE">
        <w:t xml:space="preserve">and the work performed by each DBE.  The form shall include the actual dollar amount paid to each DBE for the accepted creditable work on </w:t>
      </w:r>
      <w:r>
        <w:t>the Contract</w:t>
      </w:r>
      <w:r w:rsidRPr="00F000BE">
        <w:t>. The form shall be certified under penalty of perjury, or other applicable law, to be accurate and comple</w:t>
      </w:r>
      <w:r w:rsidRPr="00F000BE">
        <w:t>te.  VDOT will use this certification and other information available to determine applicable DBE credit allowed to date by VDOT and the extent to which the DBEs were fully paid for that work.  The Contractor shall acknowledge by the act of filing the form</w:t>
      </w:r>
      <w:r w:rsidRPr="00F000BE">
        <w:t xml:space="preserve"> that the information is supplied to obtain payment regarding a federal participation contract.  A letter of certification, signed by both the prime Contractor and appropriate DBEs, will accompany the form, indicating the amount, including any retainage, i</w:t>
      </w:r>
      <w:r w:rsidRPr="00F000BE">
        <w:t>f present, that remains to be paid to the DBE(s).</w:t>
      </w:r>
    </w:p>
    <w:p w14:paraId="480D1C45" w14:textId="77777777" w:rsidR="00FB6144" w:rsidRPr="00F000BE" w:rsidRDefault="00FB6144" w:rsidP="00FB6144">
      <w:pPr>
        <w:ind w:left="720"/>
        <w:jc w:val="both"/>
        <w:rPr>
          <w:b/>
          <w:bCs/>
        </w:rPr>
      </w:pPr>
    </w:p>
    <w:p w14:paraId="3A026B38" w14:textId="77777777" w:rsidR="00FB6144" w:rsidRPr="00815945" w:rsidRDefault="006F56BA" w:rsidP="00FB6144">
      <w:pPr>
        <w:pStyle w:val="ListParagraph"/>
        <w:numPr>
          <w:ilvl w:val="0"/>
          <w:numId w:val="12"/>
        </w:numPr>
        <w:jc w:val="both"/>
        <w:rPr>
          <w:b/>
          <w:bCs/>
        </w:rPr>
      </w:pPr>
      <w:r w:rsidRPr="00815945">
        <w:rPr>
          <w:b/>
          <w:bCs/>
        </w:rPr>
        <w:t>Documentation Required for Final Payment</w:t>
      </w:r>
    </w:p>
    <w:p w14:paraId="09D80941" w14:textId="77777777" w:rsidR="00FB6144" w:rsidRPr="00F000BE" w:rsidRDefault="00FB6144" w:rsidP="00FB6144">
      <w:pPr>
        <w:ind w:left="720"/>
        <w:jc w:val="both"/>
        <w:rPr>
          <w:b/>
          <w:bCs/>
        </w:rPr>
      </w:pPr>
    </w:p>
    <w:p w14:paraId="3FE7C826" w14:textId="77777777" w:rsidR="00FB6144" w:rsidRPr="00F000BE" w:rsidRDefault="006F56BA" w:rsidP="00FB6144">
      <w:pPr>
        <w:ind w:left="720"/>
        <w:jc w:val="both"/>
        <w:rPr>
          <w:b/>
        </w:rPr>
      </w:pPr>
      <w:r w:rsidRPr="00F000BE">
        <w:t xml:space="preserve">On those projects that are complete, the Contractor shall submit a final Form C-63 marked “Final” to the DCRO, within thirty (30) days of the final estimate.  The </w:t>
      </w:r>
      <w:r w:rsidRPr="00F000BE">
        <w:t xml:space="preserve">form must include each DBE used on </w:t>
      </w:r>
      <w:r>
        <w:t>the Contract</w:t>
      </w:r>
      <w:r w:rsidRPr="00F000BE">
        <w:t xml:space="preserve"> and the work performed by each DBE.  The form shall include the actual dollar amount paid to each DBE for the creditable work on </w:t>
      </w:r>
      <w:r>
        <w:t>the Contract</w:t>
      </w:r>
      <w:r w:rsidRPr="00F000BE">
        <w:t>.  VDOT will use this form and other information available to deter</w:t>
      </w:r>
      <w:r w:rsidRPr="00F000BE">
        <w:t xml:space="preserve">mine if the Contractor and DBEs have satisfied the DBE contract goal percentage specified in </w:t>
      </w:r>
      <w:r>
        <w:t>the Contract</w:t>
      </w:r>
      <w:r w:rsidRPr="00F000BE">
        <w:t xml:space="preserve"> and the extent to which credit was allowed.  The Contractor shall acknowledge by the act of signing and filing the form that the information is suppli</w:t>
      </w:r>
      <w:r w:rsidRPr="00F000BE">
        <w:t>ed to obtain payment regarding a federal participation contract.</w:t>
      </w:r>
    </w:p>
    <w:p w14:paraId="39F622DC" w14:textId="77777777" w:rsidR="00FB6144" w:rsidRPr="00F000BE" w:rsidRDefault="00FB6144" w:rsidP="00FB6144">
      <w:pPr>
        <w:ind w:left="720"/>
        <w:jc w:val="both"/>
      </w:pPr>
    </w:p>
    <w:p w14:paraId="32A42F95" w14:textId="77777777" w:rsidR="00FB6144" w:rsidRPr="00815945" w:rsidRDefault="006F56BA" w:rsidP="00FB6144">
      <w:pPr>
        <w:pStyle w:val="ListParagraph"/>
        <w:numPr>
          <w:ilvl w:val="0"/>
          <w:numId w:val="12"/>
        </w:numPr>
        <w:jc w:val="both"/>
        <w:rPr>
          <w:snapToGrid w:val="0"/>
        </w:rPr>
      </w:pPr>
      <w:r w:rsidRPr="00815945">
        <w:rPr>
          <w:b/>
          <w:snapToGrid w:val="0"/>
        </w:rPr>
        <w:t>Prompt Payment Requirements</w:t>
      </w:r>
    </w:p>
    <w:p w14:paraId="5FC242EA" w14:textId="77777777" w:rsidR="00FB6144" w:rsidRPr="00F000BE" w:rsidRDefault="00FB6144" w:rsidP="00FB6144">
      <w:pPr>
        <w:ind w:left="720"/>
        <w:jc w:val="both"/>
        <w:rPr>
          <w:snapToGrid w:val="0"/>
        </w:rPr>
      </w:pPr>
    </w:p>
    <w:p w14:paraId="3A8DF867" w14:textId="77777777" w:rsidR="00FB6144" w:rsidRPr="00F000BE" w:rsidRDefault="006F56BA" w:rsidP="00FB6144">
      <w:pPr>
        <w:ind w:left="720"/>
        <w:jc w:val="both"/>
        <w:rPr>
          <w:snapToGrid w:val="0"/>
        </w:rPr>
      </w:pPr>
      <w:r w:rsidRPr="00F000BE">
        <w:rPr>
          <w:snapToGrid w:val="0"/>
        </w:rPr>
        <w:t>The Contractor shall make prompt and full payment to the subcontractor(s) of any retainage held by the prime Contractor after the subcontractor’s work is satisfa</w:t>
      </w:r>
      <w:r w:rsidRPr="00F000BE">
        <w:rPr>
          <w:snapToGrid w:val="0"/>
        </w:rPr>
        <w:t>ctorily completed.</w:t>
      </w:r>
    </w:p>
    <w:p w14:paraId="737F68BF" w14:textId="77777777" w:rsidR="00FB6144" w:rsidRPr="00F000BE" w:rsidRDefault="00FB6144" w:rsidP="00FB6144">
      <w:pPr>
        <w:ind w:left="720"/>
        <w:jc w:val="both"/>
        <w:rPr>
          <w:snapToGrid w:val="0"/>
        </w:rPr>
      </w:pPr>
    </w:p>
    <w:p w14:paraId="79E265B6" w14:textId="77777777" w:rsidR="00FB6144" w:rsidRPr="00F000BE" w:rsidRDefault="006F56BA" w:rsidP="00FB6144">
      <w:pPr>
        <w:ind w:left="720"/>
        <w:jc w:val="both"/>
        <w:rPr>
          <w:snapToGrid w:val="0"/>
        </w:rPr>
      </w:pPr>
      <w:r w:rsidRPr="00F000BE">
        <w:rPr>
          <w:snapToGrid w:val="0"/>
        </w:rPr>
        <w:t xml:space="preserve">For purposes of this Special Provision, a subcontractor’s work is satisfactorily completed when all the tasks called for in the subcontract have been accomplished, documented, and accepted as required by the contract documents by VDOT. </w:t>
      </w:r>
      <w:r w:rsidRPr="00F000BE">
        <w:rPr>
          <w:snapToGrid w:val="0"/>
        </w:rPr>
        <w:t xml:space="preserve"> When VDOT has made partial acceptance of a portion of the prime contract, the Department will consider the work of any subcontractor covered by that partial acceptance to be satisfactorily completed.  Payment will be made in accordance with the requiremen</w:t>
      </w:r>
      <w:r w:rsidRPr="00F000BE">
        <w:rPr>
          <w:snapToGrid w:val="0"/>
        </w:rPr>
        <w:t>ts of Section 107.01, Section 109.08, and Section 109.09 of the Specifications.</w:t>
      </w:r>
    </w:p>
    <w:p w14:paraId="7D6500C2" w14:textId="77777777" w:rsidR="00FB6144" w:rsidRPr="00F000BE" w:rsidRDefault="00FB6144" w:rsidP="00FB6144">
      <w:pPr>
        <w:ind w:left="720"/>
        <w:jc w:val="both"/>
        <w:rPr>
          <w:snapToGrid w:val="0"/>
        </w:rPr>
      </w:pPr>
    </w:p>
    <w:p w14:paraId="26DB063E" w14:textId="77777777" w:rsidR="00FB6144" w:rsidRPr="00F000BE" w:rsidRDefault="006F56BA" w:rsidP="00FB6144">
      <w:pPr>
        <w:ind w:left="720"/>
        <w:jc w:val="both"/>
        <w:rPr>
          <w:snapToGrid w:val="0"/>
        </w:rPr>
      </w:pPr>
      <w:r w:rsidRPr="00F000BE">
        <w:rPr>
          <w:snapToGrid w:val="0"/>
        </w:rPr>
        <w:t>Upon VDOT’s payment of the subcontractor’s portion of the work as shown on the monthly progress estimate and the receipt of payment by the Contractor for such work, the Contra</w:t>
      </w:r>
      <w:r w:rsidRPr="00F000BE">
        <w:rPr>
          <w:snapToGrid w:val="0"/>
        </w:rPr>
        <w:t>ctor shall make compensation in full to the subcontractor for that portion of the work satisfactorily completed and accepted by the Department.  For the purposes of this Special Provision, payment of the subcontractor’s portion of the work shall mean the C</w:t>
      </w:r>
      <w:r w:rsidRPr="00F000BE">
        <w:rPr>
          <w:snapToGrid w:val="0"/>
        </w:rPr>
        <w:t>ontractor has issued payment in full, less agreed upon retainage, if any, to the subcontractor for that portion of the subcontractor’s work that VDOT paid to the Contractor on the monthly progress estimate.</w:t>
      </w:r>
    </w:p>
    <w:p w14:paraId="3B8B446D" w14:textId="77777777" w:rsidR="00FB6144" w:rsidRPr="00F000BE" w:rsidRDefault="00FB6144" w:rsidP="00FB6144">
      <w:pPr>
        <w:ind w:left="720"/>
        <w:jc w:val="both"/>
        <w:rPr>
          <w:snapToGrid w:val="0"/>
        </w:rPr>
      </w:pPr>
    </w:p>
    <w:p w14:paraId="68CCE382" w14:textId="77777777" w:rsidR="00FB6144" w:rsidRPr="00F000BE" w:rsidRDefault="006F56BA" w:rsidP="00FB6144">
      <w:pPr>
        <w:ind w:left="720"/>
        <w:jc w:val="both"/>
        <w:rPr>
          <w:snapToGrid w:val="0"/>
        </w:rPr>
      </w:pPr>
      <w:r w:rsidRPr="00F000BE">
        <w:rPr>
          <w:snapToGrid w:val="0"/>
        </w:rPr>
        <w:t>The Contractor shall make payment of the subcont</w:t>
      </w:r>
      <w:r w:rsidRPr="00F000BE">
        <w:rPr>
          <w:snapToGrid w:val="0"/>
        </w:rPr>
        <w:t>ractor’s portion of the work within seven (7) days of the receipt of payment from VDOT in accordance with the requirements of Section 107.01, Section 109.08, and Section 109.09 of the Specifications.</w:t>
      </w:r>
    </w:p>
    <w:p w14:paraId="1740F13C" w14:textId="77777777" w:rsidR="00FB6144" w:rsidRPr="00F000BE" w:rsidRDefault="00FB6144" w:rsidP="00FB6144">
      <w:pPr>
        <w:ind w:left="720"/>
        <w:jc w:val="both"/>
        <w:rPr>
          <w:snapToGrid w:val="0"/>
        </w:rPr>
      </w:pPr>
    </w:p>
    <w:p w14:paraId="317339B4" w14:textId="77777777" w:rsidR="00FB6144" w:rsidRPr="00F000BE" w:rsidRDefault="006F56BA" w:rsidP="00FB6144">
      <w:pPr>
        <w:ind w:left="720"/>
        <w:jc w:val="both"/>
        <w:rPr>
          <w:snapToGrid w:val="0"/>
        </w:rPr>
      </w:pPr>
      <w:r w:rsidRPr="00F000BE">
        <w:rPr>
          <w:snapToGrid w:val="0"/>
        </w:rPr>
        <w:t>If the Contractor fails to make payment for the subcont</w:t>
      </w:r>
      <w:r w:rsidRPr="00F000BE">
        <w:rPr>
          <w:snapToGrid w:val="0"/>
        </w:rPr>
        <w:t>ractor’s portion of the work within the time frame specified herein, the subcontractor shall contact the Responsible</w:t>
      </w:r>
      <w:r w:rsidRPr="00F000BE">
        <w:rPr>
          <w:b/>
          <w:snapToGrid w:val="0"/>
        </w:rPr>
        <w:t xml:space="preserve"> </w:t>
      </w:r>
      <w:r w:rsidRPr="00F000BE">
        <w:rPr>
          <w:snapToGrid w:val="0"/>
        </w:rPr>
        <w:t>Engineer and the Contractor’s bonding company in writing.  The bonding company and VDOT will investigate the cause for non-payment and, bar</w:t>
      </w:r>
      <w:r w:rsidRPr="00F000BE">
        <w:rPr>
          <w:snapToGrid w:val="0"/>
        </w:rPr>
        <w:t>ring mitigating circumstances that would make the subcontractor ineligible for payment, ensure payment in accordance with the requirements of Section 107.01, Section 109.08, and Section 109.09 of the Specifications.</w:t>
      </w:r>
    </w:p>
    <w:p w14:paraId="2C797CFE" w14:textId="77777777" w:rsidR="00FB6144" w:rsidRPr="00F000BE" w:rsidRDefault="00FB6144" w:rsidP="00FB6144">
      <w:pPr>
        <w:ind w:left="720"/>
        <w:jc w:val="both"/>
        <w:rPr>
          <w:snapToGrid w:val="0"/>
        </w:rPr>
      </w:pPr>
    </w:p>
    <w:p w14:paraId="4BBCE481" w14:textId="77777777" w:rsidR="00FB6144" w:rsidRPr="00F000BE" w:rsidRDefault="006F56BA" w:rsidP="00FB6144">
      <w:pPr>
        <w:ind w:left="720"/>
        <w:jc w:val="both"/>
        <w:rPr>
          <w:snapToGrid w:val="0"/>
        </w:rPr>
      </w:pPr>
      <w:r w:rsidRPr="00F000BE">
        <w:rPr>
          <w:snapToGrid w:val="0"/>
        </w:rPr>
        <w:lastRenderedPageBreak/>
        <w:t>By bidding on this contract, and by acc</w:t>
      </w:r>
      <w:r w:rsidRPr="00F000BE">
        <w:rPr>
          <w:snapToGrid w:val="0"/>
        </w:rPr>
        <w:t>epting and executing this contract, the Contractor agrees to assume these contractual obligations, and to bind the Contractor’s subcontractors contractually to those prompt payment requirements.</w:t>
      </w:r>
    </w:p>
    <w:p w14:paraId="2897069A" w14:textId="77777777" w:rsidR="00FB6144" w:rsidRPr="00F000BE" w:rsidRDefault="00FB6144" w:rsidP="00FB6144">
      <w:pPr>
        <w:ind w:left="720"/>
        <w:jc w:val="both"/>
        <w:rPr>
          <w:snapToGrid w:val="0"/>
        </w:rPr>
      </w:pPr>
    </w:p>
    <w:p w14:paraId="44E4FE56" w14:textId="77777777" w:rsidR="00FB6144" w:rsidRPr="00F000BE" w:rsidRDefault="006F56BA" w:rsidP="00FB6144">
      <w:pPr>
        <w:ind w:left="720"/>
        <w:jc w:val="both"/>
        <w:rPr>
          <w:snapToGrid w:val="0"/>
        </w:rPr>
      </w:pPr>
      <w:r w:rsidRPr="00F000BE">
        <w:rPr>
          <w:snapToGrid w:val="0"/>
        </w:rPr>
        <w:t xml:space="preserve">Nothing contained herein shall preclude the Contractor from </w:t>
      </w:r>
      <w:r w:rsidRPr="00F000BE">
        <w:rPr>
          <w:snapToGrid w:val="0"/>
        </w:rPr>
        <w:t>withholding payment to the subcontractor in accordance with the terms of the subcontract in order to protect the Contractor from loss or cost of damage due to a breach of agreement by the subcontractor.</w:t>
      </w:r>
    </w:p>
    <w:p w14:paraId="1FFE1285" w14:textId="77777777" w:rsidR="00FB6144" w:rsidRPr="00F000BE" w:rsidRDefault="00FB6144" w:rsidP="00FB6144">
      <w:pPr>
        <w:ind w:left="720"/>
        <w:jc w:val="both"/>
      </w:pPr>
    </w:p>
    <w:p w14:paraId="711933A8" w14:textId="77777777" w:rsidR="00FB6144" w:rsidRDefault="006F56BA" w:rsidP="00FB6144">
      <w:pPr>
        <w:pStyle w:val="ListParagraph"/>
        <w:numPr>
          <w:ilvl w:val="0"/>
          <w:numId w:val="12"/>
        </w:numPr>
        <w:jc w:val="both"/>
        <w:rPr>
          <w:b/>
          <w:snapToGrid w:val="0"/>
        </w:rPr>
      </w:pPr>
      <w:r w:rsidRPr="00815945">
        <w:rPr>
          <w:b/>
          <w:snapToGrid w:val="0"/>
        </w:rPr>
        <w:t>Miscellaneous DBE Program Requirements</w:t>
      </w:r>
    </w:p>
    <w:p w14:paraId="6EDFAED6" w14:textId="77777777" w:rsidR="00FB6144" w:rsidRDefault="00FB6144" w:rsidP="00FB6144">
      <w:pPr>
        <w:pStyle w:val="ListParagraph"/>
        <w:ind w:left="1080"/>
        <w:jc w:val="both"/>
        <w:rPr>
          <w:b/>
          <w:snapToGrid w:val="0"/>
        </w:rPr>
      </w:pPr>
    </w:p>
    <w:p w14:paraId="16433CDC" w14:textId="77777777" w:rsidR="00FB6144" w:rsidRPr="009A08ED" w:rsidRDefault="006F56BA" w:rsidP="00FB6144">
      <w:pPr>
        <w:pStyle w:val="ListParagraph"/>
        <w:numPr>
          <w:ilvl w:val="1"/>
          <w:numId w:val="12"/>
        </w:numPr>
        <w:jc w:val="both"/>
        <w:rPr>
          <w:b/>
          <w:snapToGrid w:val="0"/>
        </w:rPr>
      </w:pPr>
      <w:r w:rsidRPr="009A08ED">
        <w:rPr>
          <w:b/>
        </w:rPr>
        <w:t xml:space="preserve">Loss of DBE </w:t>
      </w:r>
      <w:r w:rsidRPr="009A08ED">
        <w:rPr>
          <w:b/>
        </w:rPr>
        <w:t>Eligibility:</w:t>
      </w:r>
      <w:r w:rsidRPr="00F000BE">
        <w:t xml:space="preserve"> When a DBE firm has been removed from eligibility as a certified DBE firm, the following actions will be taken:</w:t>
      </w:r>
    </w:p>
    <w:p w14:paraId="2C8273CD" w14:textId="77777777" w:rsidR="00FB6144" w:rsidRPr="00F000BE" w:rsidRDefault="00FB6144" w:rsidP="00FB6144">
      <w:pPr>
        <w:autoSpaceDE w:val="0"/>
        <w:autoSpaceDN w:val="0"/>
        <w:adjustRightInd w:val="0"/>
        <w:spacing w:line="240" w:lineRule="atLeast"/>
        <w:ind w:left="720"/>
        <w:jc w:val="both"/>
      </w:pPr>
    </w:p>
    <w:p w14:paraId="23A15BF0" w14:textId="77777777" w:rsidR="00FB6144" w:rsidRPr="009A08ED" w:rsidRDefault="006F56BA" w:rsidP="00FB6144">
      <w:pPr>
        <w:pStyle w:val="ListParagraph"/>
        <w:numPr>
          <w:ilvl w:val="2"/>
          <w:numId w:val="12"/>
        </w:numPr>
        <w:jc w:val="both"/>
        <w:rPr>
          <w:b/>
          <w:snapToGrid w:val="0"/>
        </w:rPr>
      </w:pPr>
      <w:r w:rsidRPr="00F000BE">
        <w:t>When a Bidder/Contractor has made a commitment to use a DBE firm that is not currently certified, thereby making the Contractor in</w:t>
      </w:r>
      <w:r w:rsidRPr="00F000BE">
        <w:t xml:space="preserve">eligible to receive DBE participation credit for work performed, and a subcontract has not been executed, the ineligible DBE firm does not count toward either </w:t>
      </w:r>
      <w:r>
        <w:t>the Contract</w:t>
      </w:r>
      <w:r w:rsidRPr="00F000BE">
        <w:t xml:space="preserve"> goal or overall goal.  The Contractor shall meet </w:t>
      </w:r>
      <w:r>
        <w:t>the Contract</w:t>
      </w:r>
      <w:r w:rsidRPr="00F000BE">
        <w:t xml:space="preserve"> goal with a DBE firm t</w:t>
      </w:r>
      <w:r w:rsidRPr="00F000BE">
        <w:t>hat is eligible to receive DBE credit for work performed, or must demonstrate to the Contract Engineer that it has made good faith efforts to do so.</w:t>
      </w:r>
    </w:p>
    <w:p w14:paraId="0050BF36" w14:textId="77777777" w:rsidR="00FB6144" w:rsidRPr="009A08ED" w:rsidRDefault="00FB6144" w:rsidP="00FB6144">
      <w:pPr>
        <w:pStyle w:val="ListParagraph"/>
        <w:ind w:left="1080"/>
        <w:jc w:val="both"/>
        <w:rPr>
          <w:b/>
          <w:snapToGrid w:val="0"/>
        </w:rPr>
      </w:pPr>
    </w:p>
    <w:p w14:paraId="34C436DC" w14:textId="77777777" w:rsidR="00FB6144" w:rsidRPr="009A08ED" w:rsidRDefault="006F56BA" w:rsidP="00FB6144">
      <w:pPr>
        <w:pStyle w:val="ListParagraph"/>
        <w:numPr>
          <w:ilvl w:val="2"/>
          <w:numId w:val="12"/>
        </w:numPr>
        <w:jc w:val="both"/>
        <w:rPr>
          <w:b/>
          <w:snapToGrid w:val="0"/>
        </w:rPr>
      </w:pPr>
      <w:r w:rsidRPr="00F000BE">
        <w:t>When a Bidder/Contractor has executed a subcontract with a certified DBE firm prior to official notificati</w:t>
      </w:r>
      <w:r w:rsidRPr="00F000BE">
        <w:t xml:space="preserve">on of the DBE firm’s loss of eligibility, the Contractor may continue to use the firm on </w:t>
      </w:r>
      <w:r>
        <w:t>the Contract</w:t>
      </w:r>
      <w:r w:rsidRPr="00F000BE">
        <w:t xml:space="preserve"> and shall continue to receive DBE credit toward its DBE goal for the subcontractor’s work.</w:t>
      </w:r>
    </w:p>
    <w:p w14:paraId="66797142" w14:textId="77777777" w:rsidR="00FB6144" w:rsidRPr="009A08ED" w:rsidRDefault="00FB6144" w:rsidP="00FB6144">
      <w:pPr>
        <w:pStyle w:val="ListParagraph"/>
        <w:ind w:left="1080"/>
        <w:jc w:val="both"/>
        <w:rPr>
          <w:b/>
          <w:snapToGrid w:val="0"/>
        </w:rPr>
      </w:pPr>
    </w:p>
    <w:p w14:paraId="5BFAE94F" w14:textId="77777777" w:rsidR="00FB6144" w:rsidRPr="009A08ED" w:rsidRDefault="006F56BA" w:rsidP="00FB6144">
      <w:pPr>
        <w:pStyle w:val="ListParagraph"/>
        <w:numPr>
          <w:ilvl w:val="2"/>
          <w:numId w:val="12"/>
        </w:numPr>
        <w:jc w:val="both"/>
        <w:rPr>
          <w:b/>
          <w:snapToGrid w:val="0"/>
        </w:rPr>
      </w:pPr>
      <w:r w:rsidRPr="00F000BE">
        <w:t>When VDOT has executed a prime contract with a DBE firm that i</w:t>
      </w:r>
      <w:r w:rsidRPr="00F000BE">
        <w:t xml:space="preserve">s certified at the time of contract execution but that is later ruled ineligible, the portion of the ineligible firm’s performance on </w:t>
      </w:r>
      <w:r>
        <w:t>the Contract</w:t>
      </w:r>
      <w:r w:rsidRPr="00F000BE">
        <w:t xml:space="preserve"> before VDOT has issued the notice of its ineligibility shall count toward </w:t>
      </w:r>
      <w:r>
        <w:t>the Contract</w:t>
      </w:r>
      <w:r w:rsidRPr="00F000BE">
        <w:t xml:space="preserve"> goal.</w:t>
      </w:r>
    </w:p>
    <w:p w14:paraId="43D570F6" w14:textId="77777777" w:rsidR="00FB6144" w:rsidRPr="009A08ED" w:rsidRDefault="00FB6144" w:rsidP="00FB6144">
      <w:pPr>
        <w:pStyle w:val="ListParagraph"/>
        <w:ind w:left="1440"/>
        <w:jc w:val="both"/>
        <w:rPr>
          <w:b/>
          <w:snapToGrid w:val="0"/>
        </w:rPr>
      </w:pPr>
    </w:p>
    <w:p w14:paraId="6E5B7178" w14:textId="77777777" w:rsidR="00FB6144" w:rsidRPr="009A08ED" w:rsidRDefault="006F56BA" w:rsidP="00FB6144">
      <w:pPr>
        <w:pStyle w:val="ListParagraph"/>
        <w:numPr>
          <w:ilvl w:val="1"/>
          <w:numId w:val="12"/>
        </w:numPr>
        <w:jc w:val="both"/>
        <w:rPr>
          <w:b/>
          <w:snapToGrid w:val="0"/>
        </w:rPr>
      </w:pPr>
      <w:r w:rsidRPr="009A08ED">
        <w:rPr>
          <w:b/>
        </w:rPr>
        <w:t xml:space="preserve">Termination of </w:t>
      </w:r>
      <w:r w:rsidRPr="009A08ED">
        <w:rPr>
          <w:b/>
        </w:rPr>
        <w:t xml:space="preserve">DBE: </w:t>
      </w:r>
      <w:r w:rsidRPr="00F000BE">
        <w:t xml:space="preserve">If a certified DBE subcontractor is terminated, or fails, refuses, or is unable to complete the work on </w:t>
      </w:r>
      <w:r>
        <w:t>the Contract</w:t>
      </w:r>
      <w:r w:rsidRPr="00F000BE">
        <w:t xml:space="preserve"> for any reason, the Contractor must promptly request approval to substitute or replace that firm in accordance with this section of th</w:t>
      </w:r>
      <w:r w:rsidRPr="00F000BE">
        <w:t>is Special Provision.</w:t>
      </w:r>
    </w:p>
    <w:p w14:paraId="451CFC35" w14:textId="77777777" w:rsidR="00FB6144" w:rsidRPr="00F000BE" w:rsidRDefault="00FB6144" w:rsidP="00FB6144">
      <w:pPr>
        <w:autoSpaceDE w:val="0"/>
        <w:autoSpaceDN w:val="0"/>
        <w:adjustRightInd w:val="0"/>
        <w:spacing w:line="240" w:lineRule="atLeast"/>
        <w:ind w:left="1080"/>
        <w:jc w:val="both"/>
      </w:pPr>
    </w:p>
    <w:p w14:paraId="04046196" w14:textId="77777777" w:rsidR="00FB6144" w:rsidRPr="009A08ED" w:rsidRDefault="006F56BA" w:rsidP="00FB6144">
      <w:pPr>
        <w:autoSpaceDE w:val="0"/>
        <w:autoSpaceDN w:val="0"/>
        <w:adjustRightInd w:val="0"/>
        <w:spacing w:line="240" w:lineRule="atLeast"/>
        <w:ind w:left="1080"/>
        <w:jc w:val="both"/>
        <w:rPr>
          <w:b/>
        </w:rPr>
      </w:pPr>
      <w:r w:rsidRPr="00F000BE">
        <w:t xml:space="preserve">The Contractor, as aforementioned in </w:t>
      </w:r>
      <w:r w:rsidRPr="009A08ED">
        <w:rPr>
          <w:b/>
        </w:rPr>
        <w:t>DBE Program-Related Certifications Made by Bidders/Contractors</w:t>
      </w:r>
      <w:r w:rsidRPr="00F000BE">
        <w:t>, shall notify VDOT in writing before terminating and/or replacing the DBE that was committed as a condition of contract award or that</w:t>
      </w:r>
      <w:r w:rsidRPr="00F000BE">
        <w:t xml:space="preserve"> is otherwise being used or represented to fulfill DBE contract obligations during </w:t>
      </w:r>
      <w:r>
        <w:t>the Contract</w:t>
      </w:r>
      <w:r w:rsidRPr="00F000BE">
        <w:t xml:space="preserve"> performance period.  Written consent from the Department for terminating the performance of any DBE shall be granted only when the Contractor can demonstrate th</w:t>
      </w:r>
      <w:r w:rsidRPr="00F000BE">
        <w:t xml:space="preserve">at the DBE is unable, unwilling, or ineligible to perform its obligations for which the Contractor sought credit toward </w:t>
      </w:r>
      <w:r>
        <w:t>the Contract</w:t>
      </w:r>
      <w:r w:rsidRPr="00F000BE">
        <w:t xml:space="preserve"> DBE goal.  Such written consent by the Department to terminate any DBE shall concurrently constitute written consent to sub</w:t>
      </w:r>
      <w:r w:rsidRPr="00F000BE">
        <w:t>stitute or replace the terminated DBE with another DBE.  Consent to terminate a DBE shall not be based on the Contractor’s ability to negotiate a more advantageous contract with another subcontractor whether that subcontractor is, or is not, a certified DB</w:t>
      </w:r>
      <w:r w:rsidRPr="00F000BE">
        <w:t>E.</w:t>
      </w:r>
    </w:p>
    <w:p w14:paraId="37207349" w14:textId="77777777" w:rsidR="00FB6144" w:rsidRPr="009A08ED" w:rsidRDefault="00FB6144" w:rsidP="00FB6144">
      <w:pPr>
        <w:autoSpaceDE w:val="0"/>
        <w:autoSpaceDN w:val="0"/>
        <w:adjustRightInd w:val="0"/>
        <w:spacing w:line="240" w:lineRule="atLeast"/>
        <w:ind w:left="1080"/>
        <w:jc w:val="both"/>
        <w:rPr>
          <w:b/>
        </w:rPr>
      </w:pPr>
    </w:p>
    <w:p w14:paraId="72F38F68" w14:textId="77777777" w:rsidR="00FB6144" w:rsidRPr="009A08ED" w:rsidRDefault="006F56BA" w:rsidP="00FB6144">
      <w:pPr>
        <w:pStyle w:val="ListParagraph"/>
        <w:numPr>
          <w:ilvl w:val="2"/>
          <w:numId w:val="12"/>
        </w:numPr>
        <w:jc w:val="both"/>
        <w:rPr>
          <w:b/>
          <w:snapToGrid w:val="0"/>
        </w:rPr>
      </w:pPr>
      <w:r w:rsidRPr="00F000BE">
        <w:t>All Contractor requests to terminate, substitute, or replace a certified DBE shall be in writing, and shall include the following information:</w:t>
      </w:r>
    </w:p>
    <w:p w14:paraId="04D18B76" w14:textId="77777777" w:rsidR="00FB6144" w:rsidRPr="009A08ED" w:rsidRDefault="00FB6144" w:rsidP="00FB6144">
      <w:pPr>
        <w:pStyle w:val="ListParagraph"/>
        <w:ind w:left="1440"/>
        <w:jc w:val="both"/>
        <w:rPr>
          <w:b/>
          <w:snapToGrid w:val="0"/>
        </w:rPr>
      </w:pPr>
    </w:p>
    <w:p w14:paraId="75DFD8F3" w14:textId="77777777" w:rsidR="00FB6144" w:rsidRPr="009A08ED" w:rsidRDefault="006F56BA" w:rsidP="00FB6144">
      <w:pPr>
        <w:pStyle w:val="ListParagraph"/>
        <w:numPr>
          <w:ilvl w:val="3"/>
          <w:numId w:val="12"/>
        </w:numPr>
        <w:jc w:val="both"/>
        <w:rPr>
          <w:b/>
          <w:snapToGrid w:val="0"/>
        </w:rPr>
      </w:pPr>
      <w:r w:rsidRPr="00F000BE">
        <w:t>The date the Contractor determined the DBE to be unwilling, unable, or ineligible to perform.</w:t>
      </w:r>
    </w:p>
    <w:p w14:paraId="2792CD20" w14:textId="77777777" w:rsidR="00FB6144" w:rsidRPr="009A08ED" w:rsidRDefault="00FB6144" w:rsidP="00FB6144">
      <w:pPr>
        <w:pStyle w:val="ListParagraph"/>
        <w:ind w:left="1800"/>
        <w:jc w:val="both"/>
        <w:rPr>
          <w:b/>
          <w:snapToGrid w:val="0"/>
        </w:rPr>
      </w:pPr>
    </w:p>
    <w:p w14:paraId="45D41F37" w14:textId="77777777" w:rsidR="00FB6144" w:rsidRPr="009A08ED" w:rsidRDefault="006F56BA" w:rsidP="00FB6144">
      <w:pPr>
        <w:pStyle w:val="ListParagraph"/>
        <w:numPr>
          <w:ilvl w:val="3"/>
          <w:numId w:val="12"/>
        </w:numPr>
        <w:jc w:val="both"/>
        <w:rPr>
          <w:b/>
          <w:snapToGrid w:val="0"/>
        </w:rPr>
      </w:pPr>
      <w:r w:rsidRPr="00F000BE">
        <w:lastRenderedPageBreak/>
        <w:t>The projected</w:t>
      </w:r>
      <w:r w:rsidRPr="00F000BE">
        <w:t xml:space="preserve"> date that the Contractor shall require a substitution or replacement DBE to commence work if consent is granted to the request.</w:t>
      </w:r>
    </w:p>
    <w:p w14:paraId="75BE4B9B" w14:textId="77777777" w:rsidR="00FB6144" w:rsidRPr="009A08ED" w:rsidRDefault="00FB6144" w:rsidP="00FB6144">
      <w:pPr>
        <w:pStyle w:val="ListParagraph"/>
        <w:ind w:left="1800"/>
        <w:jc w:val="both"/>
        <w:rPr>
          <w:b/>
          <w:snapToGrid w:val="0"/>
        </w:rPr>
      </w:pPr>
    </w:p>
    <w:p w14:paraId="20677637" w14:textId="77777777" w:rsidR="00FB6144" w:rsidRPr="009A08ED" w:rsidRDefault="006F56BA" w:rsidP="00FB6144">
      <w:pPr>
        <w:pStyle w:val="ListParagraph"/>
        <w:numPr>
          <w:ilvl w:val="3"/>
          <w:numId w:val="12"/>
        </w:numPr>
        <w:jc w:val="both"/>
        <w:rPr>
          <w:b/>
          <w:snapToGrid w:val="0"/>
        </w:rPr>
      </w:pPr>
      <w:r w:rsidRPr="00F000BE">
        <w:t xml:space="preserve">A brief statement of facts describing and citing specific actions or inaction by the DBE giving rise to the Contractor’s </w:t>
      </w:r>
      <w:r w:rsidRPr="00F000BE">
        <w:t>assertion that the DBE is unwilling, unable, or ineligible to perform;</w:t>
      </w:r>
    </w:p>
    <w:p w14:paraId="3C2EEE07" w14:textId="77777777" w:rsidR="00FB6144" w:rsidRPr="009A08ED" w:rsidRDefault="00FB6144" w:rsidP="00FB6144">
      <w:pPr>
        <w:pStyle w:val="ListParagraph"/>
        <w:ind w:left="1800"/>
        <w:jc w:val="both"/>
        <w:rPr>
          <w:b/>
          <w:snapToGrid w:val="0"/>
        </w:rPr>
      </w:pPr>
    </w:p>
    <w:p w14:paraId="6F6E5869" w14:textId="77777777" w:rsidR="00FB6144" w:rsidRPr="009A08ED" w:rsidRDefault="006F56BA" w:rsidP="00FB6144">
      <w:pPr>
        <w:pStyle w:val="ListParagraph"/>
        <w:numPr>
          <w:ilvl w:val="3"/>
          <w:numId w:val="12"/>
        </w:numPr>
        <w:jc w:val="both"/>
        <w:rPr>
          <w:b/>
          <w:snapToGrid w:val="0"/>
        </w:rPr>
      </w:pPr>
      <w:r w:rsidRPr="00F000BE">
        <w:t>A brief statement of the affected DBE’s capacity and ability to perform the work as determined by the Contractor;</w:t>
      </w:r>
    </w:p>
    <w:p w14:paraId="77429420" w14:textId="77777777" w:rsidR="00FB6144" w:rsidRPr="009A08ED" w:rsidRDefault="00FB6144" w:rsidP="00FB6144">
      <w:pPr>
        <w:pStyle w:val="ListParagraph"/>
        <w:ind w:left="1800"/>
        <w:jc w:val="both"/>
        <w:rPr>
          <w:b/>
          <w:snapToGrid w:val="0"/>
        </w:rPr>
      </w:pPr>
    </w:p>
    <w:p w14:paraId="503983B0" w14:textId="77777777" w:rsidR="00FB6144" w:rsidRPr="009A08ED" w:rsidRDefault="006F56BA" w:rsidP="00FB6144">
      <w:pPr>
        <w:pStyle w:val="ListParagraph"/>
        <w:numPr>
          <w:ilvl w:val="3"/>
          <w:numId w:val="12"/>
        </w:numPr>
        <w:jc w:val="both"/>
        <w:rPr>
          <w:b/>
          <w:snapToGrid w:val="0"/>
        </w:rPr>
      </w:pPr>
      <w:r w:rsidRPr="00F000BE">
        <w:t xml:space="preserve">A brief statement of facts regarding actions taken by the Contractor </w:t>
      </w:r>
      <w:r w:rsidRPr="00F000BE">
        <w:t>which are believed to constitute good faith efforts toward enabling the DBE to perform;</w:t>
      </w:r>
    </w:p>
    <w:p w14:paraId="497DDEB7" w14:textId="77777777" w:rsidR="00FB6144" w:rsidRPr="009A08ED" w:rsidRDefault="00FB6144" w:rsidP="00FB6144">
      <w:pPr>
        <w:pStyle w:val="ListParagraph"/>
        <w:ind w:left="1800"/>
        <w:jc w:val="both"/>
        <w:rPr>
          <w:b/>
          <w:snapToGrid w:val="0"/>
        </w:rPr>
      </w:pPr>
    </w:p>
    <w:p w14:paraId="7CD5DBE8" w14:textId="77777777" w:rsidR="00FB6144" w:rsidRPr="009A08ED" w:rsidRDefault="006F56BA" w:rsidP="00FB6144">
      <w:pPr>
        <w:pStyle w:val="ListParagraph"/>
        <w:numPr>
          <w:ilvl w:val="3"/>
          <w:numId w:val="12"/>
        </w:numPr>
        <w:jc w:val="both"/>
        <w:rPr>
          <w:b/>
          <w:snapToGrid w:val="0"/>
        </w:rPr>
      </w:pPr>
      <w:r w:rsidRPr="00F000BE">
        <w:t>The current percentage of work completed on each bid item by the DBE;</w:t>
      </w:r>
    </w:p>
    <w:p w14:paraId="336253C9" w14:textId="77777777" w:rsidR="00FB6144" w:rsidRPr="009A08ED" w:rsidRDefault="00FB6144" w:rsidP="00FB6144">
      <w:pPr>
        <w:pStyle w:val="ListParagraph"/>
        <w:ind w:left="1800"/>
        <w:jc w:val="both"/>
        <w:rPr>
          <w:b/>
          <w:snapToGrid w:val="0"/>
        </w:rPr>
      </w:pPr>
    </w:p>
    <w:p w14:paraId="5E350D46" w14:textId="77777777" w:rsidR="00FB6144" w:rsidRPr="009A08ED" w:rsidRDefault="006F56BA" w:rsidP="00FB6144">
      <w:pPr>
        <w:pStyle w:val="ListParagraph"/>
        <w:numPr>
          <w:ilvl w:val="3"/>
          <w:numId w:val="12"/>
        </w:numPr>
        <w:jc w:val="both"/>
        <w:rPr>
          <w:b/>
          <w:snapToGrid w:val="0"/>
        </w:rPr>
      </w:pPr>
      <w:r w:rsidRPr="00F000BE">
        <w:t>The total dollar amount currently paid per bid item for work performed by the DBE;</w:t>
      </w:r>
    </w:p>
    <w:p w14:paraId="344B2CAB" w14:textId="77777777" w:rsidR="00FB6144" w:rsidRPr="009A08ED" w:rsidRDefault="00FB6144" w:rsidP="00FB6144">
      <w:pPr>
        <w:pStyle w:val="ListParagraph"/>
        <w:ind w:left="1800"/>
        <w:jc w:val="both"/>
        <w:rPr>
          <w:b/>
          <w:snapToGrid w:val="0"/>
        </w:rPr>
      </w:pPr>
    </w:p>
    <w:p w14:paraId="42FD67B9" w14:textId="77777777" w:rsidR="00FB6144" w:rsidRPr="009A08ED" w:rsidRDefault="006F56BA" w:rsidP="00FB6144">
      <w:pPr>
        <w:pStyle w:val="ListParagraph"/>
        <w:numPr>
          <w:ilvl w:val="3"/>
          <w:numId w:val="12"/>
        </w:numPr>
        <w:jc w:val="both"/>
        <w:rPr>
          <w:b/>
          <w:snapToGrid w:val="0"/>
        </w:rPr>
      </w:pPr>
      <w:r w:rsidRPr="00F000BE">
        <w:t>The total do</w:t>
      </w:r>
      <w:r w:rsidRPr="00F000BE">
        <w:t>llar amount per bid item remaining to be paid to the DBE for work completed, but for which the DBE has not received payment, and with which the Contractor has no dispute;</w:t>
      </w:r>
    </w:p>
    <w:p w14:paraId="0E81089D" w14:textId="77777777" w:rsidR="00FB6144" w:rsidRPr="009A08ED" w:rsidRDefault="00FB6144" w:rsidP="00FB6144">
      <w:pPr>
        <w:pStyle w:val="ListParagraph"/>
        <w:ind w:left="1800"/>
        <w:jc w:val="both"/>
        <w:rPr>
          <w:b/>
          <w:snapToGrid w:val="0"/>
        </w:rPr>
      </w:pPr>
    </w:p>
    <w:p w14:paraId="073431CD" w14:textId="77777777" w:rsidR="00FB6144" w:rsidRPr="009A08ED" w:rsidRDefault="006F56BA" w:rsidP="00FB6144">
      <w:pPr>
        <w:pStyle w:val="ListParagraph"/>
        <w:numPr>
          <w:ilvl w:val="3"/>
          <w:numId w:val="12"/>
        </w:numPr>
        <w:jc w:val="both"/>
        <w:rPr>
          <w:b/>
          <w:snapToGrid w:val="0"/>
        </w:rPr>
      </w:pPr>
      <w:r w:rsidRPr="00F000BE">
        <w:t>The total dollar amount per bid item remaining to be paid to the DBE for work comple</w:t>
      </w:r>
      <w:r w:rsidRPr="00F000BE">
        <w:t>ted, but for which the DBE has not received payment, and over which the Contractor and/or the DBE have a dispute.</w:t>
      </w:r>
    </w:p>
    <w:p w14:paraId="786732E0" w14:textId="77777777" w:rsidR="00FB6144" w:rsidRPr="009A08ED" w:rsidRDefault="00FB6144" w:rsidP="00FB6144">
      <w:pPr>
        <w:pStyle w:val="ListParagraph"/>
        <w:ind w:left="1800"/>
        <w:jc w:val="both"/>
        <w:rPr>
          <w:b/>
          <w:snapToGrid w:val="0"/>
        </w:rPr>
      </w:pPr>
    </w:p>
    <w:p w14:paraId="2A17BE6D" w14:textId="77777777" w:rsidR="00FB6144" w:rsidRPr="009A08ED" w:rsidRDefault="006F56BA" w:rsidP="00FB6144">
      <w:pPr>
        <w:pStyle w:val="ListParagraph"/>
        <w:numPr>
          <w:ilvl w:val="2"/>
          <w:numId w:val="12"/>
        </w:numPr>
        <w:jc w:val="both"/>
        <w:rPr>
          <w:b/>
          <w:snapToGrid w:val="0"/>
        </w:rPr>
      </w:pPr>
      <w:r w:rsidRPr="00F000BE">
        <w:t xml:space="preserve">Contractor’s Written Notice to DBE of Pending Request to Terminate </w:t>
      </w:r>
      <w:r>
        <w:t>and Substitute with another DBE.</w:t>
      </w:r>
    </w:p>
    <w:p w14:paraId="6BF12998" w14:textId="77777777" w:rsidR="00FB6144" w:rsidRPr="009A08ED" w:rsidRDefault="00FB6144" w:rsidP="00FB6144">
      <w:pPr>
        <w:pStyle w:val="ListParagraph"/>
        <w:ind w:left="1440"/>
        <w:jc w:val="both"/>
        <w:rPr>
          <w:b/>
          <w:snapToGrid w:val="0"/>
        </w:rPr>
      </w:pPr>
    </w:p>
    <w:p w14:paraId="1DD5AFCC" w14:textId="77777777" w:rsidR="00FB6144" w:rsidRDefault="006F56BA" w:rsidP="00FB6144">
      <w:pPr>
        <w:pStyle w:val="ListParagraph"/>
        <w:ind w:left="1440"/>
        <w:jc w:val="both"/>
      </w:pPr>
      <w:r w:rsidRPr="00F000BE">
        <w:t xml:space="preserve">The Contractor shall send a copy of the </w:t>
      </w:r>
      <w:r w:rsidRPr="00F000BE">
        <w:t>“request to terminate and substitute” letter to the affected committed DBE firm, in conjunction with submitting the request to the DCRO.   The affected DBE firm may submit a response letter to the Department within two (2) business days of receiving the no</w:t>
      </w:r>
      <w:r w:rsidRPr="00F000BE">
        <w:t>tice to terminate from the Contractor.  The affected DBE firm shall explain its position concerning performance on the committed work.  The Department will consider both the Contractor’s request and the DBE’s response and explanation before approving the C</w:t>
      </w:r>
      <w:r w:rsidRPr="00F000BE">
        <w:t>ontractor’s termination and substitution request, or determining if any action should be taken against the Contractor.</w:t>
      </w:r>
    </w:p>
    <w:p w14:paraId="29C5D717" w14:textId="77777777" w:rsidR="00FB6144" w:rsidRDefault="00FB6144" w:rsidP="00FB6144">
      <w:pPr>
        <w:pStyle w:val="ListParagraph"/>
        <w:ind w:left="1440"/>
        <w:jc w:val="both"/>
      </w:pPr>
    </w:p>
    <w:p w14:paraId="25D946C1" w14:textId="77777777" w:rsidR="00FB6144" w:rsidRDefault="006F56BA" w:rsidP="00FB6144">
      <w:pPr>
        <w:pStyle w:val="ListParagraph"/>
        <w:ind w:left="1440"/>
        <w:jc w:val="both"/>
      </w:pPr>
      <w:r w:rsidRPr="00F000BE">
        <w:t xml:space="preserve">If, after making its best efforts to deliver a copy of the “request to terminate and substitute” letter, the Contractor is unsuccessful </w:t>
      </w:r>
      <w:r w:rsidRPr="00F000BE">
        <w:t xml:space="preserve">in notifying the affected DBE firm, the Department will verify that the affected, committed DBE firm is unable or unwilling to continue </w:t>
      </w:r>
      <w:r>
        <w:t>the Contract</w:t>
      </w:r>
      <w:r w:rsidRPr="00F000BE">
        <w:t>. The Department will immediately approve the Contractor’s request for a substitution.</w:t>
      </w:r>
    </w:p>
    <w:p w14:paraId="1B7C12D6" w14:textId="77777777" w:rsidR="00FB6144" w:rsidRPr="009A08ED" w:rsidRDefault="00FB6144" w:rsidP="00FB6144">
      <w:pPr>
        <w:pStyle w:val="ListParagraph"/>
        <w:ind w:left="1440"/>
        <w:jc w:val="both"/>
        <w:rPr>
          <w:b/>
          <w:snapToGrid w:val="0"/>
        </w:rPr>
      </w:pPr>
    </w:p>
    <w:p w14:paraId="01EB627B" w14:textId="77777777" w:rsidR="00FB6144" w:rsidRPr="009A08ED" w:rsidRDefault="006F56BA" w:rsidP="00FB6144">
      <w:pPr>
        <w:pStyle w:val="ListParagraph"/>
        <w:numPr>
          <w:ilvl w:val="2"/>
          <w:numId w:val="12"/>
        </w:numPr>
        <w:jc w:val="both"/>
        <w:rPr>
          <w:b/>
          <w:snapToGrid w:val="0"/>
        </w:rPr>
      </w:pPr>
      <w:r w:rsidRPr="009A08ED">
        <w:rPr>
          <w:bCs/>
        </w:rPr>
        <w:t>Proposed Substitutio</w:t>
      </w:r>
      <w:r w:rsidRPr="009A08ED">
        <w:rPr>
          <w:bCs/>
        </w:rPr>
        <w:t>n of Another Certified DBE</w:t>
      </w:r>
    </w:p>
    <w:p w14:paraId="3E2DA7C7" w14:textId="77777777" w:rsidR="00FB6144" w:rsidRPr="00F000BE" w:rsidRDefault="00FB6144" w:rsidP="00FB6144">
      <w:pPr>
        <w:ind w:left="1440"/>
        <w:jc w:val="both"/>
      </w:pPr>
    </w:p>
    <w:p w14:paraId="788A65BE" w14:textId="77777777" w:rsidR="00FB6144" w:rsidRPr="00F000BE" w:rsidRDefault="006F56BA" w:rsidP="00FB6144">
      <w:pPr>
        <w:ind w:left="1440"/>
        <w:jc w:val="both"/>
      </w:pPr>
      <w:r w:rsidRPr="00F000BE">
        <w:t>Upon termination of a DBE, the Contractor shall use reasonable good faith efforts to replace the terminated DBE.  The termination of such DBE shall not relieve the Contractor of its obligations pursuant to this section, and the unpaid portion of the termin</w:t>
      </w:r>
      <w:r w:rsidRPr="00F000BE">
        <w:t xml:space="preserve">ated DBE’s contract will not be counted toward </w:t>
      </w:r>
      <w:r>
        <w:t>the Contract</w:t>
      </w:r>
      <w:r w:rsidRPr="00F000BE">
        <w:t xml:space="preserve"> goal.</w:t>
      </w:r>
    </w:p>
    <w:p w14:paraId="706E22CE" w14:textId="77777777" w:rsidR="00FB6144" w:rsidRPr="00F000BE" w:rsidRDefault="00FB6144" w:rsidP="00FB6144">
      <w:pPr>
        <w:ind w:left="1440"/>
        <w:jc w:val="both"/>
      </w:pPr>
    </w:p>
    <w:p w14:paraId="4C3A318C" w14:textId="77777777" w:rsidR="00FB6144" w:rsidRPr="00F000BE" w:rsidRDefault="006F56BA" w:rsidP="00FB6144">
      <w:pPr>
        <w:ind w:left="1440"/>
        <w:jc w:val="both"/>
      </w:pPr>
      <w:r w:rsidRPr="00F000BE">
        <w:t>When a DBE substitution is necessary, the Contractor shall submit an amended Form C-111 with the name of another DBE firm, the proposed work to be performed by that firm, and the dollar amo</w:t>
      </w:r>
      <w:r w:rsidRPr="00F000BE">
        <w:t xml:space="preserve">unt of the work to replace the unfulfilled portion of the work of the originally committed DBE firm.  The Contractor shall furnish all pertinent information including </w:t>
      </w:r>
      <w:r>
        <w:t>the Contract</w:t>
      </w:r>
      <w:r w:rsidRPr="00F000BE">
        <w:t xml:space="preserve"> I.D. number, project number, bid item, item description, bid unit and bid qu</w:t>
      </w:r>
      <w:r w:rsidRPr="00F000BE">
        <w:t xml:space="preserve">antity, unit price, and total price.  In addition, the Contractor shall submit </w:t>
      </w:r>
      <w:r w:rsidRPr="00F000BE">
        <w:lastRenderedPageBreak/>
        <w:t>documentation for the requested substitute DBE as described in this section of this Special Provision.</w:t>
      </w:r>
    </w:p>
    <w:p w14:paraId="6F8B934F" w14:textId="77777777" w:rsidR="00FB6144" w:rsidRPr="00F000BE" w:rsidRDefault="00FB6144" w:rsidP="00FB6144">
      <w:pPr>
        <w:ind w:left="1440"/>
        <w:jc w:val="both"/>
      </w:pPr>
    </w:p>
    <w:p w14:paraId="589F3A87" w14:textId="77777777" w:rsidR="00FB6144" w:rsidRPr="009A08ED" w:rsidRDefault="006F56BA" w:rsidP="00FB6144">
      <w:pPr>
        <w:ind w:left="1440"/>
        <w:jc w:val="both"/>
        <w:rPr>
          <w:b/>
        </w:rPr>
      </w:pPr>
      <w:r w:rsidRPr="00F000BE">
        <w:t>Should the Contractor be unable to commit the remaining required dollar v</w:t>
      </w:r>
      <w:r w:rsidRPr="00F000BE">
        <w:t>alue to the substitute DBE, the Contractor shall provide written evidence of good faith efforts made to obtain the substitute value requirement.  The Department will review the quality, thoroughness, and intensity of those efforts.  Efforts that are viewed</w:t>
      </w:r>
      <w:r w:rsidRPr="00F000BE">
        <w:t xml:space="preserve"> by VDOT as merely superficial or pro-forma will not be considered good faith efforts to meet </w:t>
      </w:r>
      <w:r>
        <w:t>the Contract</w:t>
      </w:r>
      <w:r w:rsidRPr="00F000BE">
        <w:t xml:space="preserve"> goal for DBE participation.  The Contractor must document the steps taken that demonstrated its good faith efforts to obtain participation as set for</w:t>
      </w:r>
      <w:r w:rsidRPr="00F000BE">
        <w:t xml:space="preserve">th in the </w:t>
      </w:r>
      <w:r w:rsidRPr="009A08ED">
        <w:rPr>
          <w:b/>
        </w:rPr>
        <w:t>Good Faith Efforts Described</w:t>
      </w:r>
      <w:r w:rsidRPr="00F000BE">
        <w:t xml:space="preserve"> section of this Special Provision.</w:t>
      </w:r>
    </w:p>
    <w:p w14:paraId="6F953E68" w14:textId="77777777" w:rsidR="00FB6144" w:rsidRPr="009A08ED" w:rsidRDefault="00FB6144" w:rsidP="00FB6144">
      <w:pPr>
        <w:pStyle w:val="ListParagraph"/>
        <w:ind w:left="1440"/>
        <w:jc w:val="both"/>
        <w:rPr>
          <w:b/>
          <w:snapToGrid w:val="0"/>
        </w:rPr>
      </w:pPr>
    </w:p>
    <w:p w14:paraId="4B88152A" w14:textId="77777777" w:rsidR="00FB6144" w:rsidRDefault="006F56BA" w:rsidP="00FB6144">
      <w:pPr>
        <w:pStyle w:val="ListParagraph"/>
        <w:numPr>
          <w:ilvl w:val="1"/>
          <w:numId w:val="12"/>
        </w:numPr>
        <w:jc w:val="both"/>
        <w:rPr>
          <w:b/>
          <w:snapToGrid w:val="0"/>
        </w:rPr>
      </w:pPr>
      <w:r w:rsidRPr="009A08ED">
        <w:rPr>
          <w:b/>
          <w:snapToGrid w:val="0"/>
        </w:rPr>
        <w:t>Factors Used to determine if a DBE Trucking Firm is performing a CUF:</w:t>
      </w:r>
    </w:p>
    <w:p w14:paraId="3EA0CFFD" w14:textId="77777777" w:rsidR="00FB6144" w:rsidRDefault="00FB6144" w:rsidP="00FB6144">
      <w:pPr>
        <w:pStyle w:val="ListParagraph"/>
        <w:ind w:left="1080"/>
        <w:jc w:val="both"/>
        <w:rPr>
          <w:b/>
          <w:snapToGrid w:val="0"/>
        </w:rPr>
      </w:pPr>
    </w:p>
    <w:p w14:paraId="3A57EDAF" w14:textId="77777777" w:rsidR="00FB6144" w:rsidRPr="009A08ED" w:rsidRDefault="006F56BA" w:rsidP="00FB6144">
      <w:pPr>
        <w:pStyle w:val="ListParagraph"/>
        <w:ind w:left="1080"/>
        <w:jc w:val="both"/>
        <w:rPr>
          <w:b/>
          <w:snapToGrid w:val="0"/>
        </w:rPr>
      </w:pPr>
      <w:r w:rsidRPr="009A08ED">
        <w:rPr>
          <w:snapToGrid w:val="0"/>
        </w:rPr>
        <w:t>The following factors will be used to determine whether a DBE trucking company is performing a CUF:</w:t>
      </w:r>
    </w:p>
    <w:p w14:paraId="5A462512" w14:textId="77777777" w:rsidR="00FB6144" w:rsidRPr="009A08ED" w:rsidRDefault="00FB6144" w:rsidP="00FB6144">
      <w:pPr>
        <w:pStyle w:val="ListParagraph"/>
        <w:ind w:left="1080"/>
        <w:jc w:val="both"/>
        <w:rPr>
          <w:b/>
          <w:snapToGrid w:val="0"/>
        </w:rPr>
      </w:pPr>
    </w:p>
    <w:p w14:paraId="5008FCDA" w14:textId="77777777" w:rsidR="00FB6144" w:rsidRPr="009A08ED" w:rsidRDefault="006F56BA" w:rsidP="00FB6144">
      <w:pPr>
        <w:pStyle w:val="ListParagraph"/>
        <w:numPr>
          <w:ilvl w:val="2"/>
          <w:numId w:val="12"/>
        </w:numPr>
        <w:jc w:val="both"/>
        <w:rPr>
          <w:b/>
          <w:snapToGrid w:val="0"/>
        </w:rPr>
      </w:pPr>
      <w:r w:rsidRPr="009A08ED">
        <w:rPr>
          <w:snapToGrid w:val="0"/>
        </w:rPr>
        <w:t>To</w:t>
      </w:r>
      <w:r w:rsidRPr="00F000BE">
        <w:t xml:space="preserve"> perform a CUF the DBE trucking firm shall be completely responsible for the management and supervision of the entire trucking operation for which the DBE is responsible by subcontract on a particular contract.  There shall not be a contrived arrangement, </w:t>
      </w:r>
      <w:r w:rsidRPr="00F000BE">
        <w:t>including, but not limited to, any arrangement that would not customarily and legally exist under regular construction project subcontracting practices for the purpose of meeting the DBE contract goal;</w:t>
      </w:r>
    </w:p>
    <w:p w14:paraId="03D924D2" w14:textId="77777777" w:rsidR="00FB6144" w:rsidRPr="009A08ED" w:rsidRDefault="00FB6144" w:rsidP="00FB6144">
      <w:pPr>
        <w:pStyle w:val="ListParagraph"/>
        <w:ind w:left="1440"/>
        <w:jc w:val="both"/>
        <w:rPr>
          <w:b/>
          <w:snapToGrid w:val="0"/>
        </w:rPr>
      </w:pPr>
    </w:p>
    <w:p w14:paraId="3C6635CD" w14:textId="77777777" w:rsidR="00FB6144" w:rsidRPr="009A08ED" w:rsidRDefault="006F56BA" w:rsidP="00FB6144">
      <w:pPr>
        <w:pStyle w:val="ListParagraph"/>
        <w:numPr>
          <w:ilvl w:val="2"/>
          <w:numId w:val="12"/>
        </w:numPr>
        <w:jc w:val="both"/>
        <w:rPr>
          <w:b/>
          <w:snapToGrid w:val="0"/>
        </w:rPr>
      </w:pPr>
      <w:r w:rsidRPr="009A08ED">
        <w:rPr>
          <w:snapToGrid w:val="0"/>
        </w:rPr>
        <w:t>The DBE must own and operate at least one fully licen</w:t>
      </w:r>
      <w:r w:rsidRPr="009A08ED">
        <w:rPr>
          <w:snapToGrid w:val="0"/>
        </w:rPr>
        <w:t>sed, insured, and operational truck used in the performance of the Contract work.  This does not include a supervisor’s pickup truck or a similar vehicle that is not suitable for and customarily used in hauling the necessary materials or supplies;</w:t>
      </w:r>
    </w:p>
    <w:p w14:paraId="382AC513" w14:textId="77777777" w:rsidR="00FB6144" w:rsidRPr="009A08ED" w:rsidRDefault="00FB6144" w:rsidP="00FB6144">
      <w:pPr>
        <w:pStyle w:val="ListParagraph"/>
        <w:ind w:left="1440"/>
        <w:jc w:val="both"/>
        <w:rPr>
          <w:b/>
          <w:snapToGrid w:val="0"/>
        </w:rPr>
      </w:pPr>
    </w:p>
    <w:p w14:paraId="5BD74E4E" w14:textId="77777777" w:rsidR="00FB6144" w:rsidRPr="009A08ED" w:rsidRDefault="006F56BA" w:rsidP="00FB6144">
      <w:pPr>
        <w:pStyle w:val="ListParagraph"/>
        <w:numPr>
          <w:ilvl w:val="2"/>
          <w:numId w:val="12"/>
        </w:numPr>
        <w:jc w:val="both"/>
        <w:rPr>
          <w:b/>
          <w:snapToGrid w:val="0"/>
        </w:rPr>
      </w:pPr>
      <w:r w:rsidRPr="009A08ED">
        <w:rPr>
          <w:snapToGrid w:val="0"/>
        </w:rPr>
        <w:t>The DBE</w:t>
      </w:r>
      <w:r w:rsidRPr="009A08ED">
        <w:rPr>
          <w:snapToGrid w:val="0"/>
        </w:rPr>
        <w:t xml:space="preserve"> receives full contract goal credit for the total reasonable amount the DBE is paid for the transportation services provided on the Contract using trucks the DBE owns, insures, and operates using drivers that the DBE employs and manages;</w:t>
      </w:r>
    </w:p>
    <w:p w14:paraId="6DE3EF75" w14:textId="77777777" w:rsidR="00FB6144" w:rsidRPr="009A08ED" w:rsidRDefault="00FB6144" w:rsidP="00FB6144">
      <w:pPr>
        <w:pStyle w:val="ListParagraph"/>
        <w:ind w:left="1440"/>
        <w:jc w:val="both"/>
        <w:rPr>
          <w:b/>
          <w:snapToGrid w:val="0"/>
        </w:rPr>
      </w:pPr>
    </w:p>
    <w:p w14:paraId="5C6655A3" w14:textId="77777777" w:rsidR="00FB6144" w:rsidRPr="009A08ED" w:rsidRDefault="006F56BA" w:rsidP="00FB6144">
      <w:pPr>
        <w:pStyle w:val="ListParagraph"/>
        <w:numPr>
          <w:ilvl w:val="2"/>
          <w:numId w:val="12"/>
        </w:numPr>
        <w:jc w:val="both"/>
        <w:rPr>
          <w:b/>
          <w:snapToGrid w:val="0"/>
        </w:rPr>
      </w:pPr>
      <w:r w:rsidRPr="009A08ED">
        <w:rPr>
          <w:snapToGrid w:val="0"/>
        </w:rPr>
        <w:t>The DBE may lease</w:t>
      </w:r>
      <w:r w:rsidRPr="009A08ED">
        <w:rPr>
          <w:snapToGrid w:val="0"/>
        </w:rPr>
        <w:t xml:space="preserve"> trucks from another certified DBE firm, including from an owner-operator who is certified as a DBE.  The DBE firm that leases trucks from another DBE will receive credit for the total fair market value actually paid for transportation services the lessee </w:t>
      </w:r>
      <w:r w:rsidRPr="009A08ED">
        <w:rPr>
          <w:snapToGrid w:val="0"/>
        </w:rPr>
        <w:t>DBE firm provides on the Contract;</w:t>
      </w:r>
    </w:p>
    <w:p w14:paraId="5CF02AE6" w14:textId="77777777" w:rsidR="00FB6144" w:rsidRPr="009A08ED" w:rsidRDefault="00FB6144" w:rsidP="00FB6144">
      <w:pPr>
        <w:pStyle w:val="ListParagraph"/>
        <w:ind w:left="1440"/>
        <w:jc w:val="both"/>
        <w:rPr>
          <w:b/>
          <w:snapToGrid w:val="0"/>
        </w:rPr>
      </w:pPr>
    </w:p>
    <w:p w14:paraId="04AAADD9" w14:textId="77777777" w:rsidR="00FB6144" w:rsidRPr="009A08ED" w:rsidRDefault="006F56BA" w:rsidP="00FB6144">
      <w:pPr>
        <w:pStyle w:val="ListParagraph"/>
        <w:numPr>
          <w:ilvl w:val="2"/>
          <w:numId w:val="12"/>
        </w:numPr>
        <w:jc w:val="both"/>
        <w:rPr>
          <w:b/>
          <w:snapToGrid w:val="0"/>
        </w:rPr>
      </w:pPr>
      <w:r w:rsidRPr="009A08ED">
        <w:rPr>
          <w:snapToGrid w:val="0"/>
        </w:rPr>
        <w:t>The DBE may also lease trucks from a non-DBE firm, including an owner-operator.  The DBE who leases trucks from a non-DBE is entitled to credit for the total value of the transportation services provided by non-DBE lesse</w:t>
      </w:r>
      <w:r w:rsidRPr="009A08ED">
        <w:rPr>
          <w:snapToGrid w:val="0"/>
        </w:rPr>
        <w:t xml:space="preserve">es, </w:t>
      </w:r>
      <w:r w:rsidRPr="009A08ED">
        <w:rPr>
          <w:i/>
          <w:snapToGrid w:val="0"/>
        </w:rPr>
        <w:t>not to exceed the value of transportation services provided by DBE-owned trucks on the Contract.</w:t>
      </w:r>
      <w:r w:rsidRPr="009A08ED">
        <w:rPr>
          <w:snapToGrid w:val="0"/>
        </w:rPr>
        <w:t xml:space="preserve">  For additional participation by non-DBE lessees, the DBE will only receive credit for the fee or commission it receives as a result of the lease arrangeme</w:t>
      </w:r>
      <w:r w:rsidRPr="009A08ED">
        <w:rPr>
          <w:snapToGrid w:val="0"/>
        </w:rPr>
        <w:t>nt.</w:t>
      </w:r>
    </w:p>
    <w:p w14:paraId="22DC0DB7" w14:textId="77777777" w:rsidR="00FB6144" w:rsidRPr="009A08ED" w:rsidRDefault="00FB6144" w:rsidP="00FB6144">
      <w:pPr>
        <w:ind w:left="360"/>
        <w:jc w:val="center"/>
        <w:rPr>
          <w:snapToGrid w:val="0"/>
        </w:rPr>
      </w:pPr>
    </w:p>
    <w:p w14:paraId="6F06DB93" w14:textId="77777777" w:rsidR="00FB6144" w:rsidRPr="009A08ED" w:rsidRDefault="006F56BA" w:rsidP="00FB6144">
      <w:pPr>
        <w:ind w:left="360"/>
        <w:jc w:val="center"/>
        <w:rPr>
          <w:i/>
          <w:snapToGrid w:val="0"/>
        </w:rPr>
      </w:pPr>
      <w:r w:rsidRPr="009A08ED">
        <w:rPr>
          <w:i/>
          <w:snapToGrid w:val="0"/>
        </w:rPr>
        <w:t>EXAMPLE</w:t>
      </w:r>
    </w:p>
    <w:p w14:paraId="75229C25" w14:textId="77777777" w:rsidR="00FB6144" w:rsidRPr="009A08ED" w:rsidRDefault="006F56BA" w:rsidP="00FB6144">
      <w:pPr>
        <w:ind w:left="1800" w:right="720"/>
        <w:jc w:val="both"/>
        <w:rPr>
          <w:rFonts w:cs="Arial"/>
          <w:snapToGrid w:val="0"/>
        </w:rPr>
      </w:pPr>
      <w:r w:rsidRPr="009A08ED">
        <w:rPr>
          <w:rFonts w:cs="Arial"/>
          <w:snapToGrid w:val="0"/>
        </w:rPr>
        <w:t>DBE Firm X uses two (2) of its own trucks on a contract.  The firm leases two (2) trucks from DBE Firm Y and six (6) trucks from non-DBE Firm Z.</w:t>
      </w:r>
    </w:p>
    <w:p w14:paraId="4BCD407C" w14:textId="77777777" w:rsidR="00FB6144" w:rsidRPr="009A08ED" w:rsidRDefault="00FB6144" w:rsidP="00FB6144">
      <w:pPr>
        <w:ind w:left="360" w:right="720"/>
        <w:jc w:val="both"/>
        <w:rPr>
          <w:rFonts w:cs="Arial"/>
          <w:snapToGrid w:val="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0"/>
        <w:gridCol w:w="2430"/>
        <w:gridCol w:w="2250"/>
      </w:tblGrid>
      <w:tr w:rsidR="00652920" w14:paraId="5C2232F5" w14:textId="77777777" w:rsidTr="0060772D">
        <w:tc>
          <w:tcPr>
            <w:tcW w:w="1350" w:type="dxa"/>
            <w:vAlign w:val="bottom"/>
          </w:tcPr>
          <w:p w14:paraId="1C2FB76E" w14:textId="77777777" w:rsidR="00FB6144" w:rsidRPr="009A08ED" w:rsidRDefault="006F56BA" w:rsidP="0060772D">
            <w:pPr>
              <w:spacing w:after="120"/>
              <w:ind w:left="360"/>
              <w:rPr>
                <w:rFonts w:cs="Arial"/>
                <w:snapToGrid w:val="0"/>
              </w:rPr>
            </w:pPr>
            <w:r w:rsidRPr="009A08ED">
              <w:rPr>
                <w:rFonts w:cs="Arial"/>
                <w:b/>
                <w:bCs/>
                <w:u w:val="single"/>
              </w:rPr>
              <w:t>Firm X</w:t>
            </w:r>
          </w:p>
        </w:tc>
        <w:tc>
          <w:tcPr>
            <w:tcW w:w="2430" w:type="dxa"/>
          </w:tcPr>
          <w:p w14:paraId="6D9CBD64" w14:textId="77777777" w:rsidR="00FB6144" w:rsidRPr="009A08ED" w:rsidRDefault="00FB6144" w:rsidP="0060772D">
            <w:pPr>
              <w:spacing w:after="120"/>
              <w:ind w:left="360"/>
              <w:jc w:val="both"/>
              <w:rPr>
                <w:rFonts w:cs="Arial"/>
                <w:snapToGrid w:val="0"/>
              </w:rPr>
            </w:pPr>
          </w:p>
        </w:tc>
        <w:tc>
          <w:tcPr>
            <w:tcW w:w="2250" w:type="dxa"/>
          </w:tcPr>
          <w:p w14:paraId="311A9BA4" w14:textId="77777777" w:rsidR="00FB6144" w:rsidRPr="009A08ED" w:rsidRDefault="006F56BA" w:rsidP="0060772D">
            <w:pPr>
              <w:spacing w:after="120"/>
              <w:ind w:left="360"/>
              <w:rPr>
                <w:rFonts w:cs="Arial"/>
                <w:b/>
                <w:snapToGrid w:val="0"/>
              </w:rPr>
            </w:pPr>
            <w:r w:rsidRPr="009A08ED">
              <w:rPr>
                <w:rFonts w:cs="Arial"/>
                <w:b/>
                <w:snapToGrid w:val="0"/>
              </w:rPr>
              <w:t>Value of Trans. Serv.</w:t>
            </w:r>
          </w:p>
          <w:p w14:paraId="64D1B539" w14:textId="77777777" w:rsidR="00FB6144" w:rsidRPr="009A08ED" w:rsidRDefault="006F56BA" w:rsidP="0060772D">
            <w:pPr>
              <w:spacing w:after="120"/>
              <w:ind w:left="360"/>
              <w:rPr>
                <w:rFonts w:cs="Arial"/>
                <w:b/>
                <w:snapToGrid w:val="0"/>
              </w:rPr>
            </w:pPr>
            <w:r w:rsidRPr="009A08ED">
              <w:rPr>
                <w:rFonts w:cs="Arial"/>
                <w:snapToGrid w:val="0"/>
              </w:rPr>
              <w:t>(For Illustrative Purposes Only</w:t>
            </w:r>
            <w:r w:rsidRPr="009A08ED">
              <w:rPr>
                <w:rFonts w:cs="Arial"/>
                <w:b/>
                <w:snapToGrid w:val="0"/>
              </w:rPr>
              <w:t>)</w:t>
            </w:r>
          </w:p>
        </w:tc>
      </w:tr>
      <w:tr w:rsidR="00652920" w14:paraId="4F46E10B" w14:textId="77777777" w:rsidTr="0060772D">
        <w:tc>
          <w:tcPr>
            <w:tcW w:w="1350" w:type="dxa"/>
          </w:tcPr>
          <w:p w14:paraId="2709C662" w14:textId="77777777" w:rsidR="00FB6144" w:rsidRPr="009A08ED" w:rsidRDefault="006F56BA" w:rsidP="0060772D">
            <w:pPr>
              <w:ind w:left="360"/>
              <w:rPr>
                <w:rFonts w:cs="Arial"/>
                <w:snapToGrid w:val="0"/>
              </w:rPr>
            </w:pPr>
            <w:r w:rsidRPr="009A08ED">
              <w:rPr>
                <w:rFonts w:cs="Arial"/>
              </w:rPr>
              <w:t>Truck 1</w:t>
            </w:r>
          </w:p>
        </w:tc>
        <w:tc>
          <w:tcPr>
            <w:tcW w:w="2430" w:type="dxa"/>
          </w:tcPr>
          <w:p w14:paraId="3D0C6E3A" w14:textId="77777777" w:rsidR="00FB6144" w:rsidRPr="009A08ED" w:rsidRDefault="006F56BA" w:rsidP="0060772D">
            <w:pPr>
              <w:ind w:left="360"/>
              <w:rPr>
                <w:rFonts w:cs="Arial"/>
                <w:snapToGrid w:val="0"/>
              </w:rPr>
            </w:pPr>
            <w:r w:rsidRPr="009A08ED">
              <w:rPr>
                <w:rFonts w:cs="Arial"/>
              </w:rPr>
              <w:t>Owned by DBE</w:t>
            </w:r>
          </w:p>
        </w:tc>
        <w:tc>
          <w:tcPr>
            <w:tcW w:w="2250" w:type="dxa"/>
          </w:tcPr>
          <w:p w14:paraId="20ED6BA2" w14:textId="77777777" w:rsidR="00FB6144" w:rsidRPr="009A08ED" w:rsidRDefault="006F56BA" w:rsidP="0060772D">
            <w:pPr>
              <w:ind w:left="360"/>
              <w:rPr>
                <w:rFonts w:cs="Arial"/>
                <w:snapToGrid w:val="0"/>
              </w:rPr>
            </w:pPr>
            <w:r w:rsidRPr="009A08ED">
              <w:rPr>
                <w:rFonts w:cs="Arial"/>
              </w:rPr>
              <w:t>$100 per day</w:t>
            </w:r>
          </w:p>
        </w:tc>
      </w:tr>
      <w:tr w:rsidR="00652920" w14:paraId="39D32F48" w14:textId="77777777" w:rsidTr="0060772D">
        <w:tc>
          <w:tcPr>
            <w:tcW w:w="1350" w:type="dxa"/>
          </w:tcPr>
          <w:p w14:paraId="6D344FDD" w14:textId="77777777" w:rsidR="00FB6144" w:rsidRPr="009A08ED" w:rsidRDefault="006F56BA" w:rsidP="0060772D">
            <w:pPr>
              <w:ind w:left="360"/>
              <w:rPr>
                <w:rFonts w:cs="Arial"/>
                <w:snapToGrid w:val="0"/>
              </w:rPr>
            </w:pPr>
            <w:r w:rsidRPr="009A08ED">
              <w:rPr>
                <w:rFonts w:cs="Arial"/>
              </w:rPr>
              <w:t>Truck 2</w:t>
            </w:r>
          </w:p>
        </w:tc>
        <w:tc>
          <w:tcPr>
            <w:tcW w:w="2430" w:type="dxa"/>
          </w:tcPr>
          <w:p w14:paraId="0AE8CE92" w14:textId="77777777" w:rsidR="00FB6144" w:rsidRPr="009A08ED" w:rsidRDefault="006F56BA" w:rsidP="0060772D">
            <w:pPr>
              <w:ind w:left="360"/>
              <w:rPr>
                <w:rFonts w:cs="Arial"/>
                <w:snapToGrid w:val="0"/>
              </w:rPr>
            </w:pPr>
            <w:r w:rsidRPr="009A08ED">
              <w:rPr>
                <w:rFonts w:cs="Arial"/>
              </w:rPr>
              <w:t>Owned by DBE</w:t>
            </w:r>
          </w:p>
        </w:tc>
        <w:tc>
          <w:tcPr>
            <w:tcW w:w="2250" w:type="dxa"/>
          </w:tcPr>
          <w:p w14:paraId="20495F21" w14:textId="77777777" w:rsidR="00FB6144" w:rsidRPr="009A08ED" w:rsidRDefault="006F56BA" w:rsidP="0060772D">
            <w:pPr>
              <w:ind w:left="360"/>
              <w:rPr>
                <w:rFonts w:cs="Arial"/>
                <w:snapToGrid w:val="0"/>
              </w:rPr>
            </w:pPr>
            <w:r w:rsidRPr="009A08ED">
              <w:rPr>
                <w:rFonts w:cs="Arial"/>
              </w:rPr>
              <w:t>$100 per day</w:t>
            </w:r>
          </w:p>
        </w:tc>
      </w:tr>
      <w:tr w:rsidR="00652920" w14:paraId="188CC76E" w14:textId="77777777" w:rsidTr="0060772D">
        <w:tc>
          <w:tcPr>
            <w:tcW w:w="1350" w:type="dxa"/>
          </w:tcPr>
          <w:p w14:paraId="75C9C321" w14:textId="77777777" w:rsidR="00FB6144" w:rsidRPr="009A08ED" w:rsidRDefault="00FB6144" w:rsidP="0060772D">
            <w:pPr>
              <w:ind w:left="360"/>
              <w:rPr>
                <w:rFonts w:cs="Arial"/>
                <w:snapToGrid w:val="0"/>
              </w:rPr>
            </w:pPr>
          </w:p>
        </w:tc>
        <w:tc>
          <w:tcPr>
            <w:tcW w:w="2430" w:type="dxa"/>
          </w:tcPr>
          <w:p w14:paraId="584FD15B" w14:textId="77777777" w:rsidR="00FB6144" w:rsidRPr="009A08ED" w:rsidRDefault="00FB6144" w:rsidP="0060772D">
            <w:pPr>
              <w:ind w:left="360"/>
              <w:rPr>
                <w:rFonts w:cs="Arial"/>
                <w:snapToGrid w:val="0"/>
              </w:rPr>
            </w:pPr>
          </w:p>
        </w:tc>
        <w:tc>
          <w:tcPr>
            <w:tcW w:w="2250" w:type="dxa"/>
          </w:tcPr>
          <w:p w14:paraId="091F8061" w14:textId="77777777" w:rsidR="00FB6144" w:rsidRPr="009A08ED" w:rsidRDefault="00FB6144" w:rsidP="0060772D">
            <w:pPr>
              <w:ind w:left="360"/>
              <w:jc w:val="both"/>
              <w:rPr>
                <w:rFonts w:cs="Arial"/>
                <w:snapToGrid w:val="0"/>
              </w:rPr>
            </w:pPr>
          </w:p>
        </w:tc>
      </w:tr>
      <w:tr w:rsidR="00652920" w14:paraId="19604EF2" w14:textId="77777777" w:rsidTr="0060772D">
        <w:tc>
          <w:tcPr>
            <w:tcW w:w="1350" w:type="dxa"/>
          </w:tcPr>
          <w:p w14:paraId="6BCB97A8" w14:textId="77777777" w:rsidR="00FB6144" w:rsidRPr="009A08ED" w:rsidRDefault="006F56BA" w:rsidP="0060772D">
            <w:pPr>
              <w:spacing w:after="120"/>
              <w:ind w:left="360"/>
              <w:rPr>
                <w:rFonts w:cs="Arial"/>
                <w:snapToGrid w:val="0"/>
              </w:rPr>
            </w:pPr>
            <w:r w:rsidRPr="009A08ED">
              <w:rPr>
                <w:rFonts w:cs="Arial"/>
                <w:b/>
                <w:bCs/>
                <w:u w:val="single"/>
              </w:rPr>
              <w:t>Firm Y</w:t>
            </w:r>
          </w:p>
        </w:tc>
        <w:tc>
          <w:tcPr>
            <w:tcW w:w="2430" w:type="dxa"/>
          </w:tcPr>
          <w:p w14:paraId="7C85F9EB" w14:textId="77777777" w:rsidR="00FB6144" w:rsidRPr="009A08ED" w:rsidRDefault="00FB6144" w:rsidP="0060772D">
            <w:pPr>
              <w:spacing w:after="120"/>
              <w:ind w:left="360"/>
              <w:rPr>
                <w:rFonts w:cs="Arial"/>
                <w:snapToGrid w:val="0"/>
              </w:rPr>
            </w:pPr>
          </w:p>
        </w:tc>
        <w:tc>
          <w:tcPr>
            <w:tcW w:w="2250" w:type="dxa"/>
          </w:tcPr>
          <w:p w14:paraId="3AD1B02C" w14:textId="77777777" w:rsidR="00FB6144" w:rsidRPr="009A08ED" w:rsidRDefault="00FB6144" w:rsidP="0060772D">
            <w:pPr>
              <w:spacing w:after="120"/>
              <w:ind w:left="360"/>
              <w:jc w:val="both"/>
              <w:rPr>
                <w:rFonts w:cs="Arial"/>
                <w:snapToGrid w:val="0"/>
              </w:rPr>
            </w:pPr>
          </w:p>
        </w:tc>
      </w:tr>
      <w:tr w:rsidR="00652920" w14:paraId="04EC0FFA" w14:textId="77777777" w:rsidTr="0060772D">
        <w:tc>
          <w:tcPr>
            <w:tcW w:w="1350" w:type="dxa"/>
          </w:tcPr>
          <w:p w14:paraId="1EC14DEB" w14:textId="77777777" w:rsidR="00FB6144" w:rsidRPr="009A08ED" w:rsidRDefault="006F56BA" w:rsidP="0060772D">
            <w:pPr>
              <w:ind w:left="360"/>
              <w:rPr>
                <w:rFonts w:cs="Arial"/>
                <w:snapToGrid w:val="0"/>
              </w:rPr>
            </w:pPr>
            <w:r w:rsidRPr="009A08ED">
              <w:rPr>
                <w:rFonts w:cs="Arial"/>
              </w:rPr>
              <w:t>Truck 1</w:t>
            </w:r>
          </w:p>
        </w:tc>
        <w:tc>
          <w:tcPr>
            <w:tcW w:w="2430" w:type="dxa"/>
          </w:tcPr>
          <w:p w14:paraId="78D6E617" w14:textId="77777777" w:rsidR="00FB6144" w:rsidRPr="009A08ED" w:rsidRDefault="006F56BA" w:rsidP="0060772D">
            <w:pPr>
              <w:ind w:left="360"/>
              <w:rPr>
                <w:rFonts w:cs="Arial"/>
                <w:snapToGrid w:val="0"/>
              </w:rPr>
            </w:pPr>
            <w:r w:rsidRPr="009A08ED">
              <w:rPr>
                <w:rFonts w:cs="Arial"/>
                <w:snapToGrid w:val="0"/>
              </w:rPr>
              <w:t>Leased from DBE</w:t>
            </w:r>
          </w:p>
        </w:tc>
        <w:tc>
          <w:tcPr>
            <w:tcW w:w="2250" w:type="dxa"/>
          </w:tcPr>
          <w:p w14:paraId="6746099F" w14:textId="77777777" w:rsidR="00FB6144" w:rsidRPr="009A08ED" w:rsidRDefault="006F56BA" w:rsidP="0060772D">
            <w:pPr>
              <w:ind w:left="360"/>
              <w:jc w:val="both"/>
              <w:rPr>
                <w:rFonts w:cs="Arial"/>
                <w:snapToGrid w:val="0"/>
              </w:rPr>
            </w:pPr>
            <w:r w:rsidRPr="009A08ED">
              <w:rPr>
                <w:rFonts w:cs="Arial"/>
                <w:snapToGrid w:val="0"/>
              </w:rPr>
              <w:t>$110 per day</w:t>
            </w:r>
          </w:p>
        </w:tc>
      </w:tr>
      <w:tr w:rsidR="00652920" w14:paraId="4A1DFCF1" w14:textId="77777777" w:rsidTr="0060772D">
        <w:tc>
          <w:tcPr>
            <w:tcW w:w="1350" w:type="dxa"/>
          </w:tcPr>
          <w:p w14:paraId="6F2D9CEB" w14:textId="77777777" w:rsidR="00FB6144" w:rsidRPr="009A08ED" w:rsidRDefault="006F56BA" w:rsidP="0060772D">
            <w:pPr>
              <w:ind w:left="360"/>
              <w:rPr>
                <w:rFonts w:cs="Arial"/>
                <w:snapToGrid w:val="0"/>
              </w:rPr>
            </w:pPr>
            <w:r w:rsidRPr="009A08ED">
              <w:rPr>
                <w:rFonts w:cs="Arial"/>
              </w:rPr>
              <w:t>Truck 2</w:t>
            </w:r>
          </w:p>
        </w:tc>
        <w:tc>
          <w:tcPr>
            <w:tcW w:w="2430" w:type="dxa"/>
          </w:tcPr>
          <w:p w14:paraId="43E9DEEE" w14:textId="77777777" w:rsidR="00FB6144" w:rsidRPr="009A08ED" w:rsidRDefault="006F56BA" w:rsidP="0060772D">
            <w:pPr>
              <w:ind w:left="360"/>
              <w:rPr>
                <w:rFonts w:cs="Arial"/>
                <w:snapToGrid w:val="0"/>
              </w:rPr>
            </w:pPr>
            <w:r w:rsidRPr="009A08ED">
              <w:rPr>
                <w:rFonts w:cs="Arial"/>
                <w:snapToGrid w:val="0"/>
              </w:rPr>
              <w:t>Leased from DBE</w:t>
            </w:r>
          </w:p>
        </w:tc>
        <w:tc>
          <w:tcPr>
            <w:tcW w:w="2250" w:type="dxa"/>
          </w:tcPr>
          <w:p w14:paraId="7E1A182A" w14:textId="77777777" w:rsidR="00FB6144" w:rsidRPr="009A08ED" w:rsidRDefault="006F56BA" w:rsidP="0060772D">
            <w:pPr>
              <w:ind w:left="360"/>
              <w:jc w:val="both"/>
              <w:rPr>
                <w:rFonts w:cs="Arial"/>
                <w:snapToGrid w:val="0"/>
              </w:rPr>
            </w:pPr>
            <w:r w:rsidRPr="009A08ED">
              <w:rPr>
                <w:rFonts w:cs="Arial"/>
                <w:snapToGrid w:val="0"/>
              </w:rPr>
              <w:t>$110 per day</w:t>
            </w:r>
          </w:p>
        </w:tc>
      </w:tr>
      <w:tr w:rsidR="00652920" w14:paraId="2F506AEF" w14:textId="77777777" w:rsidTr="0060772D">
        <w:tc>
          <w:tcPr>
            <w:tcW w:w="1350" w:type="dxa"/>
          </w:tcPr>
          <w:p w14:paraId="7B7D82C9" w14:textId="77777777" w:rsidR="00FB6144" w:rsidRPr="009A08ED" w:rsidRDefault="00FB6144" w:rsidP="0060772D">
            <w:pPr>
              <w:ind w:left="360"/>
              <w:rPr>
                <w:rFonts w:cs="Arial"/>
                <w:snapToGrid w:val="0"/>
              </w:rPr>
            </w:pPr>
          </w:p>
        </w:tc>
        <w:tc>
          <w:tcPr>
            <w:tcW w:w="2430" w:type="dxa"/>
          </w:tcPr>
          <w:p w14:paraId="190F660A" w14:textId="77777777" w:rsidR="00FB6144" w:rsidRPr="009A08ED" w:rsidRDefault="00FB6144" w:rsidP="0060772D">
            <w:pPr>
              <w:ind w:left="360"/>
              <w:rPr>
                <w:rFonts w:cs="Arial"/>
                <w:snapToGrid w:val="0"/>
              </w:rPr>
            </w:pPr>
          </w:p>
        </w:tc>
        <w:tc>
          <w:tcPr>
            <w:tcW w:w="2250" w:type="dxa"/>
          </w:tcPr>
          <w:p w14:paraId="7ECA3B43" w14:textId="77777777" w:rsidR="00FB6144" w:rsidRPr="009A08ED" w:rsidRDefault="00FB6144" w:rsidP="0060772D">
            <w:pPr>
              <w:ind w:left="360"/>
              <w:jc w:val="both"/>
              <w:rPr>
                <w:rFonts w:cs="Arial"/>
                <w:snapToGrid w:val="0"/>
              </w:rPr>
            </w:pPr>
          </w:p>
        </w:tc>
      </w:tr>
      <w:tr w:rsidR="00652920" w14:paraId="144A693A" w14:textId="77777777" w:rsidTr="0060772D">
        <w:tc>
          <w:tcPr>
            <w:tcW w:w="1350" w:type="dxa"/>
          </w:tcPr>
          <w:p w14:paraId="3B231463" w14:textId="77777777" w:rsidR="00FB6144" w:rsidRPr="009A08ED" w:rsidRDefault="006F56BA" w:rsidP="0060772D">
            <w:pPr>
              <w:spacing w:after="120"/>
              <w:ind w:left="360"/>
              <w:rPr>
                <w:rFonts w:cs="Arial"/>
                <w:snapToGrid w:val="0"/>
              </w:rPr>
            </w:pPr>
            <w:r w:rsidRPr="009A08ED">
              <w:rPr>
                <w:rFonts w:cs="Arial"/>
                <w:b/>
                <w:bCs/>
                <w:u w:val="single"/>
              </w:rPr>
              <w:t>Firm Z</w:t>
            </w:r>
          </w:p>
        </w:tc>
        <w:tc>
          <w:tcPr>
            <w:tcW w:w="2430" w:type="dxa"/>
          </w:tcPr>
          <w:p w14:paraId="4BD1F155" w14:textId="77777777" w:rsidR="00FB6144" w:rsidRPr="009A08ED" w:rsidRDefault="00FB6144" w:rsidP="0060772D">
            <w:pPr>
              <w:spacing w:after="120"/>
              <w:ind w:left="360"/>
              <w:rPr>
                <w:rFonts w:cs="Arial"/>
                <w:snapToGrid w:val="0"/>
              </w:rPr>
            </w:pPr>
          </w:p>
        </w:tc>
        <w:tc>
          <w:tcPr>
            <w:tcW w:w="2250" w:type="dxa"/>
          </w:tcPr>
          <w:p w14:paraId="50241BC6" w14:textId="77777777" w:rsidR="00FB6144" w:rsidRPr="009A08ED" w:rsidRDefault="00FB6144" w:rsidP="0060772D">
            <w:pPr>
              <w:spacing w:after="120"/>
              <w:ind w:left="360"/>
              <w:jc w:val="both"/>
              <w:rPr>
                <w:rFonts w:cs="Arial"/>
                <w:snapToGrid w:val="0"/>
              </w:rPr>
            </w:pPr>
          </w:p>
        </w:tc>
      </w:tr>
      <w:tr w:rsidR="00652920" w14:paraId="1DC47245" w14:textId="77777777" w:rsidTr="0060772D">
        <w:tc>
          <w:tcPr>
            <w:tcW w:w="1350" w:type="dxa"/>
          </w:tcPr>
          <w:p w14:paraId="05B397F0" w14:textId="77777777" w:rsidR="00FB6144" w:rsidRPr="009A08ED" w:rsidRDefault="006F56BA" w:rsidP="0060772D">
            <w:pPr>
              <w:ind w:left="360"/>
              <w:rPr>
                <w:rFonts w:cs="Arial"/>
                <w:snapToGrid w:val="0"/>
              </w:rPr>
            </w:pPr>
            <w:r w:rsidRPr="009A08ED">
              <w:rPr>
                <w:rFonts w:cs="Arial"/>
              </w:rPr>
              <w:t>Truck 1</w:t>
            </w:r>
          </w:p>
        </w:tc>
        <w:tc>
          <w:tcPr>
            <w:tcW w:w="2430" w:type="dxa"/>
          </w:tcPr>
          <w:p w14:paraId="55D878B3" w14:textId="77777777" w:rsidR="00FB6144" w:rsidRPr="009A08ED" w:rsidRDefault="006F56BA" w:rsidP="0060772D">
            <w:pPr>
              <w:ind w:left="360"/>
              <w:rPr>
                <w:rFonts w:cs="Arial"/>
                <w:snapToGrid w:val="0"/>
              </w:rPr>
            </w:pPr>
            <w:r w:rsidRPr="009A08ED">
              <w:rPr>
                <w:rFonts w:cs="Arial"/>
                <w:snapToGrid w:val="0"/>
              </w:rPr>
              <w:t>Leased from Non DBE</w:t>
            </w:r>
          </w:p>
        </w:tc>
        <w:tc>
          <w:tcPr>
            <w:tcW w:w="2250" w:type="dxa"/>
          </w:tcPr>
          <w:p w14:paraId="6C9B52CD" w14:textId="77777777" w:rsidR="00FB6144" w:rsidRPr="009A08ED" w:rsidRDefault="006F56BA" w:rsidP="0060772D">
            <w:pPr>
              <w:ind w:left="360"/>
              <w:jc w:val="both"/>
              <w:rPr>
                <w:rFonts w:cs="Arial"/>
                <w:snapToGrid w:val="0"/>
              </w:rPr>
            </w:pPr>
            <w:r w:rsidRPr="009A08ED">
              <w:rPr>
                <w:rFonts w:cs="Arial"/>
                <w:snapToGrid w:val="0"/>
              </w:rPr>
              <w:t>$125 per day</w:t>
            </w:r>
          </w:p>
        </w:tc>
      </w:tr>
      <w:tr w:rsidR="00652920" w14:paraId="36DE5B20" w14:textId="77777777" w:rsidTr="0060772D">
        <w:tc>
          <w:tcPr>
            <w:tcW w:w="1350" w:type="dxa"/>
          </w:tcPr>
          <w:p w14:paraId="146074D8" w14:textId="77777777" w:rsidR="00FB6144" w:rsidRPr="009A08ED" w:rsidRDefault="006F56BA" w:rsidP="0060772D">
            <w:pPr>
              <w:ind w:left="360"/>
              <w:rPr>
                <w:rFonts w:cs="Arial"/>
                <w:snapToGrid w:val="0"/>
              </w:rPr>
            </w:pPr>
            <w:r w:rsidRPr="009A08ED">
              <w:rPr>
                <w:rFonts w:cs="Arial"/>
              </w:rPr>
              <w:t>Truck 2</w:t>
            </w:r>
          </w:p>
        </w:tc>
        <w:tc>
          <w:tcPr>
            <w:tcW w:w="2430" w:type="dxa"/>
          </w:tcPr>
          <w:p w14:paraId="536F49A6" w14:textId="77777777" w:rsidR="00FB6144" w:rsidRPr="009A08ED" w:rsidRDefault="006F56BA" w:rsidP="0060772D">
            <w:pPr>
              <w:ind w:left="360"/>
              <w:rPr>
                <w:rFonts w:cs="Arial"/>
                <w:snapToGrid w:val="0"/>
              </w:rPr>
            </w:pPr>
            <w:r w:rsidRPr="009A08ED">
              <w:rPr>
                <w:rFonts w:cs="Arial"/>
                <w:snapToGrid w:val="0"/>
              </w:rPr>
              <w:t>Leased from Non DBE</w:t>
            </w:r>
          </w:p>
        </w:tc>
        <w:tc>
          <w:tcPr>
            <w:tcW w:w="2250" w:type="dxa"/>
          </w:tcPr>
          <w:p w14:paraId="6F695492" w14:textId="77777777" w:rsidR="00FB6144" w:rsidRPr="009A08ED" w:rsidRDefault="006F56BA" w:rsidP="0060772D">
            <w:pPr>
              <w:ind w:left="360"/>
              <w:jc w:val="both"/>
              <w:rPr>
                <w:rFonts w:cs="Arial"/>
                <w:snapToGrid w:val="0"/>
              </w:rPr>
            </w:pPr>
            <w:r w:rsidRPr="009A08ED">
              <w:rPr>
                <w:rFonts w:cs="Arial"/>
                <w:snapToGrid w:val="0"/>
              </w:rPr>
              <w:t>$125 per day</w:t>
            </w:r>
          </w:p>
        </w:tc>
      </w:tr>
      <w:tr w:rsidR="00652920" w14:paraId="7E8F557F" w14:textId="77777777" w:rsidTr="0060772D">
        <w:tc>
          <w:tcPr>
            <w:tcW w:w="1350" w:type="dxa"/>
          </w:tcPr>
          <w:p w14:paraId="0B5ABEA8" w14:textId="77777777" w:rsidR="00FB6144" w:rsidRPr="009A08ED" w:rsidRDefault="006F56BA" w:rsidP="0060772D">
            <w:pPr>
              <w:ind w:left="360"/>
              <w:rPr>
                <w:rFonts w:cs="Arial"/>
                <w:snapToGrid w:val="0"/>
              </w:rPr>
            </w:pPr>
            <w:r w:rsidRPr="009A08ED">
              <w:rPr>
                <w:rFonts w:cs="Arial"/>
              </w:rPr>
              <w:t>Truck 3</w:t>
            </w:r>
          </w:p>
        </w:tc>
        <w:tc>
          <w:tcPr>
            <w:tcW w:w="2430" w:type="dxa"/>
          </w:tcPr>
          <w:p w14:paraId="3350F951" w14:textId="77777777" w:rsidR="00FB6144" w:rsidRPr="009A08ED" w:rsidRDefault="006F56BA" w:rsidP="0060772D">
            <w:pPr>
              <w:ind w:left="360"/>
              <w:rPr>
                <w:rFonts w:cs="Arial"/>
                <w:snapToGrid w:val="0"/>
              </w:rPr>
            </w:pPr>
            <w:r w:rsidRPr="009A08ED">
              <w:rPr>
                <w:rFonts w:cs="Arial"/>
                <w:snapToGrid w:val="0"/>
              </w:rPr>
              <w:t>Leased from Non DBE</w:t>
            </w:r>
          </w:p>
        </w:tc>
        <w:tc>
          <w:tcPr>
            <w:tcW w:w="2250" w:type="dxa"/>
          </w:tcPr>
          <w:p w14:paraId="44795A70" w14:textId="77777777" w:rsidR="00FB6144" w:rsidRPr="009A08ED" w:rsidRDefault="006F56BA" w:rsidP="0060772D">
            <w:pPr>
              <w:ind w:left="360"/>
              <w:jc w:val="both"/>
              <w:rPr>
                <w:rFonts w:cs="Arial"/>
                <w:snapToGrid w:val="0"/>
              </w:rPr>
            </w:pPr>
            <w:r w:rsidRPr="009A08ED">
              <w:rPr>
                <w:rFonts w:cs="Arial"/>
                <w:snapToGrid w:val="0"/>
              </w:rPr>
              <w:t>$125 per day</w:t>
            </w:r>
          </w:p>
        </w:tc>
      </w:tr>
      <w:tr w:rsidR="00652920" w14:paraId="5F2BFB99" w14:textId="77777777" w:rsidTr="0060772D">
        <w:tc>
          <w:tcPr>
            <w:tcW w:w="1350" w:type="dxa"/>
            <w:tcBorders>
              <w:bottom w:val="single" w:sz="4" w:space="0" w:color="auto"/>
            </w:tcBorders>
          </w:tcPr>
          <w:p w14:paraId="5BCFEF08" w14:textId="77777777" w:rsidR="00FB6144" w:rsidRPr="009A08ED" w:rsidRDefault="006F56BA" w:rsidP="0060772D">
            <w:pPr>
              <w:ind w:left="360"/>
              <w:rPr>
                <w:rFonts w:cs="Arial"/>
                <w:snapToGrid w:val="0"/>
              </w:rPr>
            </w:pPr>
            <w:r w:rsidRPr="009A08ED">
              <w:rPr>
                <w:rFonts w:cs="Arial"/>
              </w:rPr>
              <w:t>Truck 4</w:t>
            </w:r>
          </w:p>
        </w:tc>
        <w:tc>
          <w:tcPr>
            <w:tcW w:w="2430" w:type="dxa"/>
            <w:tcBorders>
              <w:bottom w:val="single" w:sz="4" w:space="0" w:color="auto"/>
            </w:tcBorders>
          </w:tcPr>
          <w:p w14:paraId="5311F686" w14:textId="77777777" w:rsidR="00FB6144" w:rsidRPr="009A08ED" w:rsidRDefault="006F56BA" w:rsidP="0060772D">
            <w:pPr>
              <w:ind w:left="360"/>
              <w:rPr>
                <w:rFonts w:cs="Arial"/>
                <w:snapToGrid w:val="0"/>
              </w:rPr>
            </w:pPr>
            <w:r w:rsidRPr="009A08ED">
              <w:rPr>
                <w:rFonts w:cs="Arial"/>
                <w:snapToGrid w:val="0"/>
              </w:rPr>
              <w:t>Leased from Non DBE</w:t>
            </w:r>
          </w:p>
        </w:tc>
        <w:tc>
          <w:tcPr>
            <w:tcW w:w="2250" w:type="dxa"/>
            <w:tcBorders>
              <w:bottom w:val="single" w:sz="4" w:space="0" w:color="auto"/>
            </w:tcBorders>
          </w:tcPr>
          <w:p w14:paraId="732B4CBE" w14:textId="77777777" w:rsidR="00FB6144" w:rsidRPr="009A08ED" w:rsidRDefault="006F56BA" w:rsidP="0060772D">
            <w:pPr>
              <w:ind w:left="360"/>
              <w:jc w:val="both"/>
              <w:rPr>
                <w:rFonts w:cs="Arial"/>
                <w:snapToGrid w:val="0"/>
              </w:rPr>
            </w:pPr>
            <w:r w:rsidRPr="009A08ED">
              <w:rPr>
                <w:rFonts w:cs="Arial"/>
                <w:snapToGrid w:val="0"/>
              </w:rPr>
              <w:t>$125 per day</w:t>
            </w:r>
          </w:p>
        </w:tc>
      </w:tr>
      <w:tr w:rsidR="00652920" w14:paraId="6C88910E" w14:textId="77777777" w:rsidTr="0060772D">
        <w:tc>
          <w:tcPr>
            <w:tcW w:w="1350" w:type="dxa"/>
            <w:tcBorders>
              <w:top w:val="single" w:sz="4" w:space="0" w:color="auto"/>
            </w:tcBorders>
          </w:tcPr>
          <w:p w14:paraId="3560100C" w14:textId="77777777" w:rsidR="00FB6144" w:rsidRPr="009A08ED" w:rsidRDefault="006F56BA" w:rsidP="0060772D">
            <w:pPr>
              <w:ind w:left="360"/>
              <w:rPr>
                <w:rFonts w:cs="Arial"/>
                <w:snapToGrid w:val="0"/>
              </w:rPr>
            </w:pPr>
            <w:r w:rsidRPr="009A08ED">
              <w:rPr>
                <w:rFonts w:cs="Arial"/>
              </w:rPr>
              <w:t>Truck 5</w:t>
            </w:r>
          </w:p>
        </w:tc>
        <w:tc>
          <w:tcPr>
            <w:tcW w:w="2430" w:type="dxa"/>
            <w:tcBorders>
              <w:top w:val="single" w:sz="4" w:space="0" w:color="auto"/>
            </w:tcBorders>
          </w:tcPr>
          <w:p w14:paraId="415472AD" w14:textId="77777777" w:rsidR="00FB6144" w:rsidRPr="009A08ED" w:rsidRDefault="006F56BA" w:rsidP="0060772D">
            <w:pPr>
              <w:ind w:left="360"/>
              <w:rPr>
                <w:rFonts w:cs="Arial"/>
                <w:snapToGrid w:val="0"/>
              </w:rPr>
            </w:pPr>
            <w:r w:rsidRPr="009A08ED">
              <w:rPr>
                <w:rFonts w:cs="Arial"/>
                <w:snapToGrid w:val="0"/>
              </w:rPr>
              <w:t>Leased from Non DBE*</w:t>
            </w:r>
          </w:p>
        </w:tc>
        <w:tc>
          <w:tcPr>
            <w:tcW w:w="2250" w:type="dxa"/>
            <w:tcBorders>
              <w:top w:val="single" w:sz="4" w:space="0" w:color="auto"/>
            </w:tcBorders>
          </w:tcPr>
          <w:p w14:paraId="5FC03A47" w14:textId="77777777" w:rsidR="00FB6144" w:rsidRPr="009A08ED" w:rsidRDefault="006F56BA" w:rsidP="0060772D">
            <w:pPr>
              <w:ind w:left="360"/>
              <w:jc w:val="both"/>
              <w:rPr>
                <w:rFonts w:cs="Arial"/>
                <w:snapToGrid w:val="0"/>
              </w:rPr>
            </w:pPr>
            <w:r w:rsidRPr="009A08ED">
              <w:rPr>
                <w:rFonts w:cs="Arial"/>
                <w:snapToGrid w:val="0"/>
              </w:rPr>
              <w:t>$125 per day</w:t>
            </w:r>
          </w:p>
        </w:tc>
      </w:tr>
      <w:tr w:rsidR="00652920" w14:paraId="0F1225DC" w14:textId="77777777" w:rsidTr="0060772D">
        <w:tc>
          <w:tcPr>
            <w:tcW w:w="1350" w:type="dxa"/>
          </w:tcPr>
          <w:p w14:paraId="4E31A911" w14:textId="77777777" w:rsidR="00FB6144" w:rsidRPr="009A08ED" w:rsidRDefault="006F56BA" w:rsidP="0060772D">
            <w:pPr>
              <w:ind w:left="360"/>
              <w:rPr>
                <w:rFonts w:cs="Arial"/>
                <w:snapToGrid w:val="0"/>
              </w:rPr>
            </w:pPr>
            <w:r w:rsidRPr="009A08ED">
              <w:rPr>
                <w:rFonts w:cs="Arial"/>
              </w:rPr>
              <w:t>Truck 6</w:t>
            </w:r>
          </w:p>
        </w:tc>
        <w:tc>
          <w:tcPr>
            <w:tcW w:w="2430" w:type="dxa"/>
          </w:tcPr>
          <w:p w14:paraId="622FC911" w14:textId="77777777" w:rsidR="00FB6144" w:rsidRPr="009A08ED" w:rsidRDefault="006F56BA" w:rsidP="0060772D">
            <w:pPr>
              <w:ind w:left="360"/>
              <w:rPr>
                <w:rFonts w:cs="Arial"/>
                <w:snapToGrid w:val="0"/>
              </w:rPr>
            </w:pPr>
            <w:r w:rsidRPr="009A08ED">
              <w:rPr>
                <w:rFonts w:cs="Arial"/>
                <w:snapToGrid w:val="0"/>
              </w:rPr>
              <w:t>Leased from Non DBE*</w:t>
            </w:r>
          </w:p>
        </w:tc>
        <w:tc>
          <w:tcPr>
            <w:tcW w:w="2250" w:type="dxa"/>
          </w:tcPr>
          <w:p w14:paraId="5E416D7C" w14:textId="77777777" w:rsidR="00FB6144" w:rsidRPr="009A08ED" w:rsidRDefault="006F56BA" w:rsidP="0060772D">
            <w:pPr>
              <w:ind w:left="360"/>
              <w:jc w:val="both"/>
              <w:rPr>
                <w:rFonts w:cs="Arial"/>
                <w:snapToGrid w:val="0"/>
              </w:rPr>
            </w:pPr>
            <w:r w:rsidRPr="009A08ED">
              <w:rPr>
                <w:rFonts w:cs="Arial"/>
                <w:snapToGrid w:val="0"/>
              </w:rPr>
              <w:t>$125 per day</w:t>
            </w:r>
          </w:p>
        </w:tc>
      </w:tr>
      <w:tr w:rsidR="00652920" w14:paraId="4069979F" w14:textId="77777777" w:rsidTr="0060772D">
        <w:tc>
          <w:tcPr>
            <w:tcW w:w="1350" w:type="dxa"/>
          </w:tcPr>
          <w:p w14:paraId="46432D68" w14:textId="77777777" w:rsidR="00FB6144" w:rsidRPr="009A08ED" w:rsidRDefault="00FB6144" w:rsidP="0060772D">
            <w:pPr>
              <w:ind w:left="360"/>
              <w:jc w:val="both"/>
              <w:rPr>
                <w:rFonts w:cs="Arial"/>
                <w:snapToGrid w:val="0"/>
              </w:rPr>
            </w:pPr>
          </w:p>
        </w:tc>
        <w:tc>
          <w:tcPr>
            <w:tcW w:w="2430" w:type="dxa"/>
          </w:tcPr>
          <w:p w14:paraId="1A31C95F" w14:textId="77777777" w:rsidR="00FB6144" w:rsidRPr="009A08ED" w:rsidRDefault="00FB6144" w:rsidP="0060772D">
            <w:pPr>
              <w:ind w:left="360"/>
              <w:jc w:val="both"/>
              <w:rPr>
                <w:rFonts w:cs="Arial"/>
                <w:snapToGrid w:val="0"/>
              </w:rPr>
            </w:pPr>
          </w:p>
        </w:tc>
        <w:tc>
          <w:tcPr>
            <w:tcW w:w="2250" w:type="dxa"/>
          </w:tcPr>
          <w:p w14:paraId="03070C25" w14:textId="77777777" w:rsidR="00FB6144" w:rsidRPr="009A08ED" w:rsidRDefault="00FB6144" w:rsidP="0060772D">
            <w:pPr>
              <w:ind w:left="360"/>
              <w:jc w:val="both"/>
              <w:rPr>
                <w:rFonts w:cs="Arial"/>
                <w:snapToGrid w:val="0"/>
              </w:rPr>
            </w:pPr>
          </w:p>
        </w:tc>
      </w:tr>
    </w:tbl>
    <w:p w14:paraId="2DEA80BD" w14:textId="77777777" w:rsidR="00FB6144" w:rsidRPr="009A08ED" w:rsidRDefault="00FB6144" w:rsidP="00FB6144">
      <w:pPr>
        <w:ind w:left="360" w:right="720"/>
        <w:jc w:val="both"/>
        <w:rPr>
          <w:rFonts w:cs="Arial"/>
          <w:snapToGrid w:val="0"/>
        </w:rPr>
      </w:pPr>
    </w:p>
    <w:p w14:paraId="18599234" w14:textId="77777777" w:rsidR="00FB6144" w:rsidRPr="009A08ED" w:rsidRDefault="006F56BA" w:rsidP="00FB6144">
      <w:pPr>
        <w:spacing w:after="240"/>
        <w:ind w:left="1800" w:right="720"/>
        <w:jc w:val="both"/>
        <w:rPr>
          <w:rFonts w:cs="Arial"/>
          <w:snapToGrid w:val="0"/>
        </w:rPr>
      </w:pPr>
      <w:r w:rsidRPr="009A08ED">
        <w:rPr>
          <w:rFonts w:cs="Arial"/>
          <w:snapToGrid w:val="0"/>
        </w:rPr>
        <w:t xml:space="preserve">DBE credit would be awarded for the total transportation services provided by DBE Firm X and DBE Firm Y, and </w:t>
      </w:r>
      <w:r w:rsidRPr="009A08ED">
        <w:rPr>
          <w:rFonts w:cs="Arial"/>
          <w:snapToGrid w:val="0"/>
        </w:rPr>
        <w:t>may also be awarded for the total value of transportation services by four (4) of the six (6) trucks provided by non-DBE Firm Z (</w:t>
      </w:r>
      <w:r w:rsidRPr="009A08ED">
        <w:rPr>
          <w:snapToGrid w:val="0"/>
        </w:rPr>
        <w:t>not to exceed the value of transportation services provided by DBE-owned trucks).</w:t>
      </w:r>
    </w:p>
    <w:p w14:paraId="3F4A8991" w14:textId="77777777" w:rsidR="00FB6144" w:rsidRPr="009A08ED" w:rsidRDefault="006F56BA" w:rsidP="00FB6144">
      <w:pPr>
        <w:ind w:left="2520"/>
        <w:rPr>
          <w:b/>
        </w:rPr>
      </w:pPr>
      <w:r w:rsidRPr="009A08ED">
        <w:rPr>
          <w:b/>
        </w:rPr>
        <w:t xml:space="preserve">Credit = 8 Trucks </w:t>
      </w:r>
    </w:p>
    <w:p w14:paraId="298C4DC1" w14:textId="77777777" w:rsidR="00FB6144" w:rsidRPr="009A08ED" w:rsidRDefault="006F56BA" w:rsidP="00FB6144">
      <w:pPr>
        <w:ind w:left="2520"/>
        <w:rPr>
          <w:b/>
        </w:rPr>
      </w:pPr>
      <w:r w:rsidRPr="009A08ED">
        <w:rPr>
          <w:b/>
        </w:rPr>
        <w:t xml:space="preserve">Total Value of </w:t>
      </w:r>
      <w:r w:rsidRPr="009A08ED">
        <w:rPr>
          <w:b/>
        </w:rPr>
        <w:t>Transportation Services = $820</w:t>
      </w:r>
    </w:p>
    <w:p w14:paraId="068FA2EF" w14:textId="77777777" w:rsidR="00FB6144" w:rsidRPr="009A08ED" w:rsidRDefault="00FB6144" w:rsidP="00FB6144">
      <w:pPr>
        <w:ind w:left="1800" w:right="720"/>
        <w:jc w:val="both"/>
        <w:rPr>
          <w:rFonts w:cs="Arial"/>
          <w:snapToGrid w:val="0"/>
        </w:rPr>
      </w:pPr>
    </w:p>
    <w:p w14:paraId="4F6A58AE" w14:textId="77777777" w:rsidR="00FB6144" w:rsidRPr="009A08ED" w:rsidRDefault="006F56BA" w:rsidP="00FB6144">
      <w:pPr>
        <w:ind w:left="1800" w:right="720"/>
        <w:jc w:val="both"/>
        <w:rPr>
          <w:rFonts w:cs="Arial"/>
          <w:snapToGrid w:val="0"/>
        </w:rPr>
      </w:pPr>
      <w:r w:rsidRPr="009A08ED">
        <w:rPr>
          <w:rFonts w:cs="Arial"/>
          <w:snapToGrid w:val="0"/>
        </w:rPr>
        <w:t>In all, full DBE credit would be allowed for the participation of eight (8) trucks (twice the number of DBE trucks owned and leased) and the dollar value attributable to the Value of Transportation Services provided by the 8</w:t>
      </w:r>
      <w:r w:rsidRPr="009A08ED">
        <w:rPr>
          <w:rFonts w:cs="Arial"/>
          <w:snapToGrid w:val="0"/>
        </w:rPr>
        <w:t xml:space="preserve"> trucks.</w:t>
      </w:r>
    </w:p>
    <w:p w14:paraId="3DD8EB58" w14:textId="77777777" w:rsidR="00FB6144" w:rsidRPr="009A08ED" w:rsidRDefault="00FB6144" w:rsidP="00FB6144">
      <w:pPr>
        <w:ind w:left="1800" w:right="720"/>
        <w:jc w:val="both"/>
        <w:rPr>
          <w:rFonts w:cs="Arial"/>
          <w:snapToGrid w:val="0"/>
        </w:rPr>
      </w:pPr>
    </w:p>
    <w:p w14:paraId="45C96A88" w14:textId="77777777" w:rsidR="00FB6144" w:rsidRPr="009A08ED" w:rsidRDefault="006F56BA" w:rsidP="00FB6144">
      <w:pPr>
        <w:spacing w:after="240"/>
        <w:ind w:left="1800" w:right="720"/>
        <w:jc w:val="both"/>
        <w:rPr>
          <w:rFonts w:cs="Arial"/>
          <w:snapToGrid w:val="0"/>
        </w:rPr>
      </w:pPr>
      <w:r w:rsidRPr="009A08ED">
        <w:rPr>
          <w:rFonts w:cs="Arial"/>
          <w:snapToGrid w:val="0"/>
        </w:rPr>
        <w:t xml:space="preserve">* With respect to the other two trucks provided by non-DBE Firm Z, DBE credit could be awarded only for the fees or commissions pertaining to those trucks that DBE Firm X receives as a result of the lease with non-DBE Firm Z. </w:t>
      </w:r>
    </w:p>
    <w:p w14:paraId="5B08BBE5" w14:textId="77777777" w:rsidR="00FB6144" w:rsidRPr="009A08ED" w:rsidRDefault="00FB6144" w:rsidP="00FB6144">
      <w:pPr>
        <w:pStyle w:val="ListParagraph"/>
        <w:ind w:left="1440"/>
        <w:jc w:val="both"/>
        <w:rPr>
          <w:b/>
          <w:snapToGrid w:val="0"/>
        </w:rPr>
      </w:pPr>
    </w:p>
    <w:p w14:paraId="791D2DE2" w14:textId="77777777" w:rsidR="00FB6144" w:rsidRPr="00BF6964" w:rsidRDefault="006F56BA" w:rsidP="00FB6144">
      <w:pPr>
        <w:pStyle w:val="ListParagraph"/>
        <w:numPr>
          <w:ilvl w:val="2"/>
          <w:numId w:val="12"/>
        </w:numPr>
        <w:jc w:val="both"/>
        <w:rPr>
          <w:b/>
          <w:snapToGrid w:val="0"/>
        </w:rPr>
      </w:pPr>
      <w:r w:rsidRPr="009A08ED">
        <w:rPr>
          <w:snapToGrid w:val="0"/>
        </w:rPr>
        <w:t xml:space="preserve">For purposes of </w:t>
      </w:r>
      <w:r w:rsidRPr="009A08ED">
        <w:rPr>
          <w:snapToGrid w:val="0"/>
        </w:rPr>
        <w:t>this section, the lease must indicate that the DBE firm leasing the truck has exclusive use of and control over the truck.  This will not preclude the leased truck from working for others during the term of the lease with the consent of the DBE, provided t</w:t>
      </w:r>
      <w:r w:rsidRPr="009A08ED">
        <w:rPr>
          <w:snapToGrid w:val="0"/>
        </w:rPr>
        <w:t>he lease gives the DBE absolute priority for and control over the use of the leased truck.  Leased trucks must display the name and identification number of the DBE firm that has leased the truck at all times during the life of the lease.</w:t>
      </w:r>
    </w:p>
    <w:p w14:paraId="6F76344E" w14:textId="77777777" w:rsidR="00FB6144" w:rsidRPr="00BF6964" w:rsidRDefault="00FB6144" w:rsidP="00FB6144">
      <w:pPr>
        <w:pStyle w:val="ListParagraph"/>
        <w:ind w:left="1440"/>
        <w:jc w:val="both"/>
        <w:rPr>
          <w:b/>
          <w:snapToGrid w:val="0"/>
        </w:rPr>
      </w:pPr>
    </w:p>
    <w:p w14:paraId="24C18242" w14:textId="77777777" w:rsidR="00FB6144" w:rsidRPr="00BF6964" w:rsidRDefault="006F56BA" w:rsidP="00FB6144">
      <w:pPr>
        <w:pStyle w:val="ListParagraph"/>
        <w:numPr>
          <w:ilvl w:val="1"/>
          <w:numId w:val="12"/>
        </w:numPr>
        <w:jc w:val="both"/>
        <w:rPr>
          <w:b/>
          <w:snapToGrid w:val="0"/>
        </w:rPr>
      </w:pPr>
      <w:r w:rsidRPr="00BF6964">
        <w:rPr>
          <w:rFonts w:cs="Arial"/>
          <w:b/>
          <w:bCs/>
        </w:rPr>
        <w:t>Data Collection:</w:t>
      </w:r>
      <w:r w:rsidRPr="00BF6964">
        <w:rPr>
          <w:rFonts w:cs="Arial"/>
          <w:b/>
          <w:bCs/>
        </w:rPr>
        <w:t xml:space="preserve"> </w:t>
      </w:r>
      <w:r w:rsidRPr="00BF6964">
        <w:rPr>
          <w:rFonts w:cs="Arial"/>
        </w:rPr>
        <w:t>In accordance with 49CFR Section 26.11, all firms bidding on prime contracts and bidding or quoting subcontracts on federal-aid projects shall provide the following information to the Contract Engineer annually.</w:t>
      </w:r>
    </w:p>
    <w:p w14:paraId="2EAEE370" w14:textId="77777777" w:rsidR="00FB6144" w:rsidRPr="00F000BE" w:rsidRDefault="006F56BA" w:rsidP="00FB6144">
      <w:pPr>
        <w:numPr>
          <w:ilvl w:val="0"/>
          <w:numId w:val="13"/>
        </w:numPr>
        <w:tabs>
          <w:tab w:val="clear" w:pos="2174"/>
        </w:tabs>
        <w:spacing w:before="120"/>
        <w:ind w:left="1440"/>
        <w:jc w:val="both"/>
        <w:rPr>
          <w:rFonts w:cs="Arial"/>
        </w:rPr>
      </w:pPr>
      <w:r w:rsidRPr="00F000BE">
        <w:rPr>
          <w:rFonts w:cs="Arial"/>
        </w:rPr>
        <w:t>Firm name</w:t>
      </w:r>
    </w:p>
    <w:p w14:paraId="065801C7" w14:textId="77777777" w:rsidR="00FB6144" w:rsidRPr="00F000BE" w:rsidRDefault="006F56BA" w:rsidP="00FB6144">
      <w:pPr>
        <w:numPr>
          <w:ilvl w:val="0"/>
          <w:numId w:val="13"/>
        </w:numPr>
        <w:tabs>
          <w:tab w:val="clear" w:pos="2174"/>
        </w:tabs>
        <w:spacing w:before="120"/>
        <w:ind w:left="1440"/>
        <w:jc w:val="both"/>
        <w:rPr>
          <w:rFonts w:cs="Arial"/>
        </w:rPr>
      </w:pPr>
      <w:r w:rsidRPr="00F000BE">
        <w:rPr>
          <w:rFonts w:cs="Arial"/>
        </w:rPr>
        <w:t>Firm address</w:t>
      </w:r>
    </w:p>
    <w:p w14:paraId="7948EAB5" w14:textId="77777777" w:rsidR="00FB6144" w:rsidRPr="00F000BE" w:rsidRDefault="006F56BA" w:rsidP="00FB6144">
      <w:pPr>
        <w:numPr>
          <w:ilvl w:val="0"/>
          <w:numId w:val="13"/>
        </w:numPr>
        <w:tabs>
          <w:tab w:val="clear" w:pos="2174"/>
        </w:tabs>
        <w:spacing w:before="120"/>
        <w:ind w:left="1440"/>
        <w:jc w:val="both"/>
        <w:rPr>
          <w:rFonts w:cs="Arial"/>
        </w:rPr>
      </w:pPr>
      <w:r w:rsidRPr="00F000BE">
        <w:rPr>
          <w:rFonts w:cs="Arial"/>
        </w:rPr>
        <w:t>Firm’s status as a D</w:t>
      </w:r>
      <w:r w:rsidRPr="00F000BE">
        <w:rPr>
          <w:rFonts w:cs="Arial"/>
        </w:rPr>
        <w:t>BE or non-DBE</w:t>
      </w:r>
    </w:p>
    <w:p w14:paraId="7D612387" w14:textId="77777777" w:rsidR="00FB6144" w:rsidRPr="00F000BE" w:rsidRDefault="006F56BA" w:rsidP="00FB6144">
      <w:pPr>
        <w:numPr>
          <w:ilvl w:val="0"/>
          <w:numId w:val="13"/>
        </w:numPr>
        <w:tabs>
          <w:tab w:val="clear" w:pos="2174"/>
        </w:tabs>
        <w:spacing w:before="120"/>
        <w:ind w:left="1440"/>
        <w:jc w:val="both"/>
        <w:rPr>
          <w:rFonts w:cs="Arial"/>
        </w:rPr>
      </w:pPr>
      <w:r w:rsidRPr="00F000BE">
        <w:rPr>
          <w:rFonts w:cs="Arial"/>
        </w:rPr>
        <w:lastRenderedPageBreak/>
        <w:t>The age of the firm and</w:t>
      </w:r>
    </w:p>
    <w:p w14:paraId="129CE2F7" w14:textId="77777777" w:rsidR="00FB6144" w:rsidRPr="00F000BE" w:rsidRDefault="006F56BA" w:rsidP="00FB6144">
      <w:pPr>
        <w:numPr>
          <w:ilvl w:val="0"/>
          <w:numId w:val="13"/>
        </w:numPr>
        <w:tabs>
          <w:tab w:val="clear" w:pos="2174"/>
        </w:tabs>
        <w:spacing w:before="120"/>
        <w:ind w:left="1440"/>
        <w:jc w:val="both"/>
        <w:rPr>
          <w:rFonts w:cs="Arial"/>
        </w:rPr>
      </w:pPr>
      <w:r w:rsidRPr="00F000BE">
        <w:rPr>
          <w:rFonts w:cs="Arial"/>
        </w:rPr>
        <w:t>The annual gross receipts of the firm</w:t>
      </w:r>
    </w:p>
    <w:p w14:paraId="27BBC705" w14:textId="77777777" w:rsidR="00FB6144" w:rsidRPr="00F000BE" w:rsidRDefault="00FB6144" w:rsidP="00FB6144">
      <w:pPr>
        <w:ind w:left="1080"/>
        <w:jc w:val="both"/>
        <w:rPr>
          <w:rFonts w:cs="Arial"/>
        </w:rPr>
      </w:pPr>
    </w:p>
    <w:p w14:paraId="69CEC183" w14:textId="77777777" w:rsidR="00FB6144" w:rsidRPr="00F000BE" w:rsidRDefault="006F56BA" w:rsidP="00FB6144">
      <w:pPr>
        <w:ind w:left="1080"/>
        <w:jc w:val="both"/>
        <w:rPr>
          <w:rFonts w:cs="Arial"/>
        </w:rPr>
      </w:pPr>
      <w:r w:rsidRPr="00F000BE">
        <w:t>The means of transmittal and the risk for timely receipt of this information shall be the responsibility of the bidder. However, t</w:t>
      </w:r>
      <w:r w:rsidRPr="00F000BE">
        <w:rPr>
          <w:rFonts w:cs="Arial"/>
        </w:rPr>
        <w:t>he above information can be submitted by means of</w:t>
      </w:r>
      <w:r w:rsidRPr="00F000BE">
        <w:rPr>
          <w:rFonts w:cs="Arial"/>
        </w:rPr>
        <w:t xml:space="preserve"> the Annual Gross Receipts Survey as required in the Prequalification/Certification application.</w:t>
      </w:r>
    </w:p>
    <w:p w14:paraId="3BE2AF5C" w14:textId="77777777" w:rsidR="00FB6144" w:rsidRPr="00F000BE" w:rsidRDefault="00FB6144" w:rsidP="00FB6144">
      <w:pPr>
        <w:ind w:left="1080"/>
        <w:jc w:val="both"/>
        <w:rPr>
          <w:rFonts w:cs="Arial"/>
        </w:rPr>
      </w:pPr>
    </w:p>
    <w:p w14:paraId="026E1E10" w14:textId="77777777" w:rsidR="00FB6144" w:rsidRPr="00F000BE" w:rsidRDefault="006F56BA" w:rsidP="00FB6144">
      <w:pPr>
        <w:ind w:left="1080"/>
        <w:jc w:val="both"/>
        <w:rPr>
          <w:rFonts w:cs="Arial"/>
        </w:rPr>
      </w:pPr>
      <w:r w:rsidRPr="00F000BE">
        <w:rPr>
          <w:rFonts w:cs="Arial"/>
        </w:rPr>
        <w:t>All bidders, including DBE prime Contractor bidders, shall complete and submit to the Contract Engineer the Subcontractor/Supplier Solicitation and Utilization Form C-48 for each bid submitted; to be received within ten (10) business days after the bid ope</w:t>
      </w:r>
      <w:r w:rsidRPr="00F000BE">
        <w:rPr>
          <w:rFonts w:cs="Arial"/>
        </w:rPr>
        <w:t xml:space="preserve">ning.  Failure of bidders to submit this form in the time frame specified may be cause for disqualification of the bidder and rejection of their bid in accordance with the requirements of this Special Provision, </w:t>
      </w:r>
      <w:r>
        <w:rPr>
          <w:rFonts w:cs="Arial"/>
        </w:rPr>
        <w:t>the Contract</w:t>
      </w:r>
      <w:r w:rsidRPr="00F000BE">
        <w:rPr>
          <w:rFonts w:cs="Arial"/>
        </w:rPr>
        <w:t xml:space="preserve"> specifications, and VDOT Road a</w:t>
      </w:r>
      <w:r w:rsidRPr="00F000BE">
        <w:rPr>
          <w:rFonts w:cs="Arial"/>
        </w:rPr>
        <w:t xml:space="preserve">nd Bridge specifications. </w:t>
      </w:r>
    </w:p>
    <w:p w14:paraId="558403C8" w14:textId="77777777" w:rsidR="00FB6144" w:rsidRPr="00F000BE" w:rsidRDefault="00FB6144" w:rsidP="00FB6144">
      <w:pPr>
        <w:ind w:left="1080"/>
        <w:jc w:val="both"/>
        <w:rPr>
          <w:rFonts w:cs="Arial"/>
        </w:rPr>
      </w:pPr>
    </w:p>
    <w:p w14:paraId="449203CC" w14:textId="77777777" w:rsidR="00FB6144" w:rsidRPr="00815945" w:rsidRDefault="006F56BA" w:rsidP="00FB6144">
      <w:pPr>
        <w:pStyle w:val="ListParagraph"/>
        <w:numPr>
          <w:ilvl w:val="0"/>
          <w:numId w:val="12"/>
        </w:numPr>
        <w:jc w:val="both"/>
        <w:rPr>
          <w:rFonts w:cs="Arial"/>
          <w:b/>
        </w:rPr>
      </w:pPr>
      <w:r w:rsidRPr="00815945">
        <w:rPr>
          <w:rFonts w:cs="Arial"/>
          <w:b/>
        </w:rPr>
        <w:t xml:space="preserve">Suspect Evidence of Criminal Behavior </w:t>
      </w:r>
    </w:p>
    <w:p w14:paraId="30A8886B" w14:textId="77777777" w:rsidR="00FB6144" w:rsidRPr="00F000BE" w:rsidRDefault="00FB6144" w:rsidP="00FB6144">
      <w:pPr>
        <w:ind w:left="1440"/>
        <w:jc w:val="both"/>
      </w:pPr>
    </w:p>
    <w:p w14:paraId="4C864C82" w14:textId="77777777" w:rsidR="00FB6144" w:rsidRPr="00F000BE" w:rsidRDefault="006F56BA" w:rsidP="00FB6144">
      <w:pPr>
        <w:ind w:left="720"/>
        <w:jc w:val="both"/>
      </w:pPr>
      <w:r w:rsidRPr="00F000BE">
        <w:t>Failure of a bidder, Contractor, or subcontractor to comply with the Virginia Department of Transportation Road and Bridge Specifications and these Special Provisions wherein there appears</w:t>
      </w:r>
      <w:r w:rsidRPr="00F000BE">
        <w:t xml:space="preserve"> to be evidence of criminal conduct shall be referred to the Attorney General for the Commonwealth of Virginia and/or the FHWA Inspector General for criminal investigation and, if warranted, prosecution.</w:t>
      </w:r>
    </w:p>
    <w:p w14:paraId="5731F6AF" w14:textId="77777777" w:rsidR="00FB6144" w:rsidRPr="00F000BE" w:rsidRDefault="00FB6144" w:rsidP="00FB6144">
      <w:pPr>
        <w:ind w:left="1440"/>
        <w:jc w:val="both"/>
        <w:rPr>
          <w:rFonts w:cs="Arial"/>
        </w:rPr>
      </w:pPr>
    </w:p>
    <w:p w14:paraId="32D18126" w14:textId="77777777" w:rsidR="00FB6144" w:rsidRPr="00F000BE" w:rsidRDefault="006F56BA" w:rsidP="00FB6144">
      <w:pPr>
        <w:ind w:left="1080" w:hanging="360"/>
        <w:jc w:val="both"/>
        <w:rPr>
          <w:rFonts w:cs="Arial"/>
          <w:b/>
        </w:rPr>
      </w:pPr>
      <w:r w:rsidRPr="00F000BE">
        <w:rPr>
          <w:rFonts w:cs="Arial"/>
          <w:b/>
        </w:rPr>
        <w:t>Suspected DBE Fraud</w:t>
      </w:r>
    </w:p>
    <w:p w14:paraId="2A546606" w14:textId="77777777" w:rsidR="00FB6144" w:rsidRPr="00F000BE" w:rsidRDefault="00FB6144" w:rsidP="00FB6144">
      <w:pPr>
        <w:ind w:left="1440"/>
        <w:jc w:val="both"/>
        <w:rPr>
          <w:rFonts w:cs="Arial"/>
        </w:rPr>
      </w:pPr>
    </w:p>
    <w:p w14:paraId="02DAB825" w14:textId="77777777" w:rsidR="00FB6144" w:rsidRPr="00F000BE" w:rsidRDefault="006F56BA" w:rsidP="00FB6144">
      <w:pPr>
        <w:ind w:left="720"/>
        <w:jc w:val="both"/>
        <w:rPr>
          <w:rFonts w:cs="Arial"/>
        </w:rPr>
      </w:pPr>
      <w:r w:rsidRPr="00F000BE">
        <w:rPr>
          <w:rFonts w:cs="Arial"/>
        </w:rPr>
        <w:t>In appropriate cases, VDOT wil</w:t>
      </w:r>
      <w:r w:rsidRPr="00F000BE">
        <w:rPr>
          <w:rFonts w:cs="Arial"/>
        </w:rPr>
        <w:t>l bring to the attention of the U. S. Department of Transportation (USDOT) any appearance of false, fraudulent, or dishonest conduct in connection with the DBE program, so that USDOT can take the steps, e.g., referral to the Department of Justice for crimi</w:t>
      </w:r>
      <w:r w:rsidRPr="00F000BE">
        <w:rPr>
          <w:rFonts w:cs="Arial"/>
        </w:rPr>
        <w:t>nal prosecution, referral to the USDOT Inspector General, action under suspension and debarment or Program Fraud and Civil Penalties rules provided in 49CFR Part 31.</w:t>
      </w:r>
    </w:p>
    <w:p w14:paraId="1BD70D41" w14:textId="77777777" w:rsidR="00FB6144" w:rsidRPr="00F000BE" w:rsidRDefault="00FB6144" w:rsidP="00FB6144">
      <w:pPr>
        <w:tabs>
          <w:tab w:val="left" w:pos="1080"/>
        </w:tabs>
        <w:ind w:left="720"/>
        <w:jc w:val="both"/>
        <w:rPr>
          <w:b/>
        </w:rPr>
      </w:pPr>
    </w:p>
    <w:p w14:paraId="242437BB" w14:textId="77777777" w:rsidR="00FB6144" w:rsidRDefault="006F56BA" w:rsidP="00FB6144">
      <w:pPr>
        <w:pStyle w:val="ListParagraph"/>
        <w:numPr>
          <w:ilvl w:val="0"/>
          <w:numId w:val="12"/>
        </w:numPr>
        <w:jc w:val="both"/>
        <w:rPr>
          <w:rFonts w:cs="Arial"/>
          <w:b/>
          <w:bCs/>
        </w:rPr>
      </w:pPr>
      <w:r w:rsidRPr="00815945">
        <w:rPr>
          <w:b/>
        </w:rPr>
        <w:t xml:space="preserve">Summary of </w:t>
      </w:r>
      <w:r w:rsidRPr="00815945">
        <w:rPr>
          <w:rFonts w:cs="Arial"/>
          <w:b/>
          <w:bCs/>
        </w:rPr>
        <w:t>Remedies for Non-Compliance with DBE Program Requirements</w:t>
      </w:r>
    </w:p>
    <w:p w14:paraId="1C7AC57F" w14:textId="77777777" w:rsidR="00FB6144" w:rsidRPr="00BF6964" w:rsidRDefault="00FB6144" w:rsidP="00FB6144">
      <w:pPr>
        <w:ind w:left="720"/>
        <w:jc w:val="both"/>
        <w:rPr>
          <w:rFonts w:cs="Arial"/>
          <w:b/>
          <w:bCs/>
        </w:rPr>
      </w:pPr>
    </w:p>
    <w:p w14:paraId="2CF75455" w14:textId="77777777" w:rsidR="00FB6144" w:rsidRPr="00BF6964" w:rsidRDefault="006F56BA" w:rsidP="00FB6144">
      <w:pPr>
        <w:ind w:left="720"/>
        <w:jc w:val="both"/>
        <w:rPr>
          <w:rFonts w:cs="Arial"/>
        </w:rPr>
      </w:pPr>
      <w:r w:rsidRPr="00BF6964">
        <w:rPr>
          <w:rFonts w:cs="Arial"/>
        </w:rPr>
        <w:t>Failure of any bidd</w:t>
      </w:r>
      <w:r w:rsidRPr="00BF6964">
        <w:rPr>
          <w:rFonts w:cs="Arial"/>
        </w:rPr>
        <w:t>er\Contractor to comply with the requirements of this Special Provision for Section 107.15 of the Virginia Road and Bridge Specifications, which is deemed to be a condition of bidding, or where a contract exists, is deemed to constitute a breach of contrac</w:t>
      </w:r>
      <w:r w:rsidRPr="00BF6964">
        <w:rPr>
          <w:rFonts w:cs="Arial"/>
        </w:rPr>
        <w:t>t shall be remedied in accordance with the following:</w:t>
      </w:r>
    </w:p>
    <w:p w14:paraId="276B0763" w14:textId="77777777" w:rsidR="00FB6144" w:rsidRDefault="00FB6144" w:rsidP="00FB6144">
      <w:pPr>
        <w:pStyle w:val="ListParagraph"/>
        <w:jc w:val="both"/>
        <w:rPr>
          <w:rFonts w:cs="Arial"/>
          <w:b/>
          <w:bCs/>
        </w:rPr>
      </w:pPr>
    </w:p>
    <w:p w14:paraId="500737E2" w14:textId="77777777" w:rsidR="00FB6144" w:rsidRDefault="006F56BA" w:rsidP="00FB6144">
      <w:pPr>
        <w:pStyle w:val="ListParagraph"/>
        <w:numPr>
          <w:ilvl w:val="1"/>
          <w:numId w:val="12"/>
        </w:numPr>
        <w:jc w:val="both"/>
        <w:rPr>
          <w:rFonts w:cs="Arial"/>
          <w:b/>
          <w:bCs/>
        </w:rPr>
      </w:pPr>
      <w:r w:rsidRPr="00BF6964">
        <w:rPr>
          <w:b/>
          <w:snapToGrid w:val="0"/>
        </w:rPr>
        <w:t>Disadvantaged Business Enterprise (DBE) Program Requirements</w:t>
      </w:r>
    </w:p>
    <w:p w14:paraId="3FF7A78D" w14:textId="77777777" w:rsidR="00FB6144" w:rsidRPr="00BF6964" w:rsidRDefault="00FB6144" w:rsidP="00FB6144">
      <w:pPr>
        <w:ind w:left="1080"/>
        <w:jc w:val="both"/>
        <w:rPr>
          <w:rFonts w:cs="Arial"/>
          <w:b/>
          <w:bCs/>
        </w:rPr>
      </w:pPr>
    </w:p>
    <w:p w14:paraId="1AE3ACE2" w14:textId="77777777" w:rsidR="00FB6144" w:rsidRDefault="006F56BA" w:rsidP="00FB6144">
      <w:pPr>
        <w:ind w:left="1080"/>
        <w:jc w:val="both"/>
      </w:pPr>
      <w:r w:rsidRPr="00F000BE">
        <w:t xml:space="preserve">The Contractor shall carry out applicable requirements of 49 CFR Part 26 in the award, administration, and performance of this contract.  </w:t>
      </w:r>
      <w:r w:rsidRPr="00F000BE">
        <w:t>Failure by the Contractor to carry out these requirements is a material breach of this contract, which will result in the termination of this contract or other such remedy, as VDOT deems appropriate.</w:t>
      </w:r>
    </w:p>
    <w:p w14:paraId="2B6C19B8" w14:textId="77777777" w:rsidR="00FB6144" w:rsidRDefault="00FB6144" w:rsidP="00FB6144">
      <w:pPr>
        <w:ind w:left="1080"/>
        <w:jc w:val="both"/>
      </w:pPr>
    </w:p>
    <w:p w14:paraId="6D23637C" w14:textId="77777777" w:rsidR="00FB6144" w:rsidRPr="00BF6964" w:rsidRDefault="006F56BA" w:rsidP="00FB6144">
      <w:pPr>
        <w:ind w:left="1080"/>
        <w:jc w:val="both"/>
        <w:rPr>
          <w:snapToGrid w:val="0"/>
        </w:rPr>
      </w:pPr>
      <w:r w:rsidRPr="00BF6964">
        <w:rPr>
          <w:snapToGrid w:val="0"/>
        </w:rPr>
        <w:t>All administrative remedies noted in this provision are</w:t>
      </w:r>
      <w:r w:rsidRPr="00BF6964">
        <w:rPr>
          <w:snapToGrid w:val="0"/>
        </w:rPr>
        <w:t xml:space="preserve"> automatic unless the Contractor exercises the right of appeal within the required timeframe(s) specified herein.</w:t>
      </w:r>
    </w:p>
    <w:p w14:paraId="01AC7C5E" w14:textId="77777777" w:rsidR="00FB6144" w:rsidRPr="00BF6964" w:rsidRDefault="00FB6144" w:rsidP="00FB6144">
      <w:pPr>
        <w:ind w:left="1080"/>
        <w:jc w:val="both"/>
        <w:rPr>
          <w:snapToGrid w:val="0"/>
        </w:rPr>
      </w:pPr>
    </w:p>
    <w:p w14:paraId="512BE06A" w14:textId="77777777" w:rsidR="00FB6144" w:rsidRDefault="006F56BA" w:rsidP="00FB6144">
      <w:pPr>
        <w:pStyle w:val="ListParagraph"/>
        <w:numPr>
          <w:ilvl w:val="1"/>
          <w:numId w:val="12"/>
        </w:numPr>
        <w:jc w:val="both"/>
        <w:rPr>
          <w:rFonts w:cs="Arial"/>
          <w:b/>
          <w:bCs/>
        </w:rPr>
      </w:pPr>
      <w:r w:rsidRPr="00BF6964">
        <w:rPr>
          <w:b/>
        </w:rPr>
        <w:t>DBE Program-Related Certifications Made by Bidders\Contractors</w:t>
      </w:r>
    </w:p>
    <w:p w14:paraId="1B4D1A2E" w14:textId="77777777" w:rsidR="00FB6144" w:rsidRPr="00BF6964" w:rsidRDefault="00FB6144" w:rsidP="00FB6144">
      <w:pPr>
        <w:ind w:left="1080"/>
        <w:jc w:val="both"/>
        <w:rPr>
          <w:rFonts w:cs="Arial"/>
          <w:b/>
          <w:bCs/>
        </w:rPr>
      </w:pPr>
    </w:p>
    <w:p w14:paraId="77F20EC1" w14:textId="77777777" w:rsidR="00FB6144" w:rsidRDefault="006F56BA" w:rsidP="00FB6144">
      <w:pPr>
        <w:ind w:left="1080"/>
        <w:jc w:val="both"/>
      </w:pPr>
      <w:r w:rsidRPr="00F000BE">
        <w:t>Once awarded the contract, the Contractor shall comply fully with all regulat</w:t>
      </w:r>
      <w:r w:rsidRPr="00F000BE">
        <w:t xml:space="preserve">ory and contractual requirements of the USDOT DBE Program, and that each certified DBE firm participating in </w:t>
      </w:r>
      <w:r>
        <w:t>the Contract</w:t>
      </w:r>
      <w:r w:rsidRPr="00F000BE">
        <w:t xml:space="preserve"> shall fully perform the designated work items with the DBE’s own forces and equipment under the DBE’s direct supervision, control, and</w:t>
      </w:r>
      <w:r w:rsidRPr="00F000BE">
        <w:t xml:space="preserve"> management.  Where a contract exists and where the Contractor, DBE firm, or any other firm retained by the Contractor has failed to comply with federal or VDOT DBE Program regulations and/or their </w:t>
      </w:r>
      <w:r w:rsidRPr="00F000BE">
        <w:lastRenderedPageBreak/>
        <w:t xml:space="preserve">requirements on that contract, VDOT has the authority and </w:t>
      </w:r>
      <w:r w:rsidRPr="00F000BE">
        <w:t xml:space="preserve">discretion to determine the extent to which the DBE contract requirements have not been met, and will assess against the Contractor any remedies available at law or provided in </w:t>
      </w:r>
      <w:r>
        <w:t>the Contract</w:t>
      </w:r>
      <w:r w:rsidRPr="00F000BE">
        <w:t xml:space="preserve"> in the event of such a contract breach.</w:t>
      </w:r>
    </w:p>
    <w:p w14:paraId="1C2CFD39" w14:textId="77777777" w:rsidR="00FB6144" w:rsidRDefault="00FB6144" w:rsidP="00FB6144">
      <w:pPr>
        <w:ind w:left="1080"/>
        <w:jc w:val="both"/>
      </w:pPr>
    </w:p>
    <w:p w14:paraId="04FB37F8" w14:textId="77777777" w:rsidR="00FB6144" w:rsidRPr="00BF6964" w:rsidRDefault="006F56BA" w:rsidP="00FB6144">
      <w:pPr>
        <w:pStyle w:val="ListParagraph"/>
        <w:numPr>
          <w:ilvl w:val="1"/>
          <w:numId w:val="12"/>
        </w:numPr>
        <w:jc w:val="both"/>
        <w:rPr>
          <w:rFonts w:cs="Arial"/>
          <w:b/>
          <w:bCs/>
        </w:rPr>
      </w:pPr>
      <w:r w:rsidRPr="00BF6964">
        <w:rPr>
          <w:b/>
          <w:snapToGrid w:val="0"/>
        </w:rPr>
        <w:t>Disqualification of Bidde</w:t>
      </w:r>
      <w:r w:rsidRPr="00BF6964">
        <w:rPr>
          <w:b/>
          <w:snapToGrid w:val="0"/>
        </w:rPr>
        <w:t>r</w:t>
      </w:r>
    </w:p>
    <w:p w14:paraId="349EEAC7" w14:textId="77777777" w:rsidR="00FB6144" w:rsidRPr="00BF6964" w:rsidRDefault="00FB6144" w:rsidP="00FB6144">
      <w:pPr>
        <w:ind w:left="1080"/>
        <w:jc w:val="both"/>
        <w:rPr>
          <w:rFonts w:cs="Arial"/>
          <w:b/>
          <w:bCs/>
        </w:rPr>
      </w:pPr>
    </w:p>
    <w:p w14:paraId="4FA1AB49" w14:textId="77777777" w:rsidR="00FB6144" w:rsidRPr="00BF6964" w:rsidRDefault="006F56BA" w:rsidP="00FB6144">
      <w:pPr>
        <w:ind w:left="1080"/>
        <w:jc w:val="both"/>
        <w:rPr>
          <w:rFonts w:cs="Arial"/>
          <w:b/>
          <w:bCs/>
        </w:rPr>
      </w:pPr>
      <w:r w:rsidRPr="00BF6964">
        <w:rPr>
          <w:snapToGrid w:val="0"/>
        </w:rPr>
        <w:t>Bidders may be disqualified from bidding for failure to comply with the requirements of this Special Provision, the Contract specifications, and VDOT Road and Bridge Specifications.</w:t>
      </w:r>
    </w:p>
    <w:p w14:paraId="0834E4F1" w14:textId="77777777" w:rsidR="00FB6144" w:rsidRPr="00BF6964" w:rsidRDefault="00FB6144" w:rsidP="00FB6144">
      <w:pPr>
        <w:autoSpaceDE w:val="0"/>
        <w:autoSpaceDN w:val="0"/>
        <w:adjustRightInd w:val="0"/>
        <w:spacing w:line="240" w:lineRule="atLeast"/>
        <w:ind w:left="1080"/>
        <w:jc w:val="both"/>
        <w:rPr>
          <w:snapToGrid w:val="0"/>
        </w:rPr>
      </w:pPr>
    </w:p>
    <w:p w14:paraId="703FA7B9" w14:textId="77777777" w:rsidR="00FB6144" w:rsidRDefault="006F56BA" w:rsidP="00FB6144">
      <w:pPr>
        <w:pStyle w:val="ListParagraph"/>
        <w:numPr>
          <w:ilvl w:val="1"/>
          <w:numId w:val="12"/>
        </w:numPr>
        <w:jc w:val="both"/>
        <w:rPr>
          <w:rFonts w:cs="Arial"/>
          <w:b/>
          <w:bCs/>
        </w:rPr>
      </w:pPr>
      <w:r w:rsidRPr="00BF6964">
        <w:rPr>
          <w:rFonts w:cs="Arial"/>
          <w:b/>
          <w:bCs/>
        </w:rPr>
        <w:t>Bidding Procedures</w:t>
      </w:r>
    </w:p>
    <w:p w14:paraId="55124A8F" w14:textId="77777777" w:rsidR="00FB6144" w:rsidRPr="00BF6964" w:rsidRDefault="00FB6144" w:rsidP="00FB6144">
      <w:pPr>
        <w:autoSpaceDE w:val="0"/>
        <w:autoSpaceDN w:val="0"/>
        <w:adjustRightInd w:val="0"/>
        <w:spacing w:line="240" w:lineRule="atLeast"/>
        <w:ind w:left="1080"/>
        <w:jc w:val="both"/>
        <w:rPr>
          <w:snapToGrid w:val="0"/>
        </w:rPr>
      </w:pPr>
    </w:p>
    <w:p w14:paraId="39C32E6F" w14:textId="77777777" w:rsidR="00FB6144" w:rsidRPr="00F000BE" w:rsidRDefault="006F56BA" w:rsidP="00FB6144">
      <w:pPr>
        <w:autoSpaceDE w:val="0"/>
        <w:autoSpaceDN w:val="0"/>
        <w:adjustRightInd w:val="0"/>
        <w:spacing w:line="240" w:lineRule="atLeast"/>
        <w:ind w:left="1080"/>
        <w:jc w:val="both"/>
      </w:pPr>
      <w:r w:rsidRPr="00F000BE">
        <w:t>The failure of a bidder to submit the required doc</w:t>
      </w:r>
      <w:r w:rsidRPr="00F000BE">
        <w:t xml:space="preserve">umentation within the timeframes specified in the </w:t>
      </w:r>
      <w:r w:rsidRPr="00BF6964">
        <w:rPr>
          <w:b/>
        </w:rPr>
        <w:t>Contract Goal, Good Faith Efforts Specified</w:t>
      </w:r>
      <w:r w:rsidRPr="00F000BE">
        <w:t xml:space="preserve"> section of this Special Provision may be cause for rejection of that bidder’s bid. If the lowest bidder is rejected for failure to submit required documentation i</w:t>
      </w:r>
      <w:r w:rsidRPr="00F000BE">
        <w:t>n the specified time frames, the Department may either award the work to the next lowest bidder, or re-advertise and construct the work under contract or otherwise as determined by the Commonwealth.</w:t>
      </w:r>
    </w:p>
    <w:p w14:paraId="0FD9340A" w14:textId="77777777" w:rsidR="00FB6144" w:rsidRPr="00BF6964" w:rsidRDefault="00FB6144" w:rsidP="00FB6144">
      <w:pPr>
        <w:autoSpaceDE w:val="0"/>
        <w:autoSpaceDN w:val="0"/>
        <w:adjustRightInd w:val="0"/>
        <w:spacing w:line="240" w:lineRule="atLeast"/>
        <w:ind w:left="1080"/>
        <w:jc w:val="both"/>
        <w:rPr>
          <w:snapToGrid w:val="0"/>
        </w:rPr>
      </w:pPr>
    </w:p>
    <w:p w14:paraId="1AAE23B3" w14:textId="77777777" w:rsidR="00FB6144" w:rsidRPr="00F000BE" w:rsidRDefault="006F56BA" w:rsidP="00FB6144">
      <w:pPr>
        <w:autoSpaceDE w:val="0"/>
        <w:autoSpaceDN w:val="0"/>
        <w:adjustRightInd w:val="0"/>
        <w:spacing w:line="240" w:lineRule="atLeast"/>
        <w:ind w:left="1080"/>
        <w:jc w:val="both"/>
      </w:pPr>
      <w:r w:rsidRPr="00F000BE">
        <w:t>In order to award a contract to a bidder that has failed</w:t>
      </w:r>
      <w:r w:rsidRPr="00F000BE">
        <w:t xml:space="preserve"> to meet DBE contract goal requirements, VDOT will determine if the bidder’s efforts were adequate good faith efforts, and if given all relevant circumstances, those efforts were to the extent a bidder actively and aggressively seeking to meet the requirem</w:t>
      </w:r>
      <w:r w:rsidRPr="00F000BE">
        <w:t>ents would make.  Regardless of the DBE contract goal participation level proposed by the bidder or the extent of good faith efforts shown, all bidders shall timely and separately file their completed and executed Forms C-111, C-112, C-48, and Form C-49, a</w:t>
      </w:r>
      <w:r w:rsidRPr="00F000BE">
        <w:t xml:space="preserve">s aforementioned, or face potential bid rejection.  If a bidder does not submit </w:t>
      </w:r>
      <w:proofErr w:type="spellStart"/>
      <w:r w:rsidRPr="00F000BE">
        <w:t>it’s</w:t>
      </w:r>
      <w:proofErr w:type="spellEnd"/>
      <w:r w:rsidRPr="00F000BE">
        <w:t xml:space="preserve"> completed and executed C-111, or C-112, when required by this Special Provision, the bidder’s bid will be considered non-responsive and may be rejected. If, after reconsid</w:t>
      </w:r>
      <w:r w:rsidRPr="00F000BE">
        <w:t xml:space="preserve">eration, the Department determines the bidder has failed to meet the requirements of </w:t>
      </w:r>
      <w:r>
        <w:t>the Contract</w:t>
      </w:r>
      <w:r w:rsidRPr="00F000BE">
        <w:t xml:space="preserve"> goal and has failed to make adequate good faith efforts to achieve the level of DBE participation as specified in the bid proposal, the bidder’s bid will be r</w:t>
      </w:r>
      <w:r w:rsidRPr="00F000BE">
        <w:t xml:space="preserve">ejected. If sufficient documented evidence is presented to demonstrate that the apparent low bidder made reasonable good faith efforts, the Department will award </w:t>
      </w:r>
      <w:r>
        <w:t>the Contract</w:t>
      </w:r>
      <w:r w:rsidRPr="00F000BE">
        <w:t xml:space="preserve"> and reduce the DBE requirement to the actual commitment identified by the lowest </w:t>
      </w:r>
      <w:r w:rsidRPr="00F000BE">
        <w:t xml:space="preserve">successful bidder at the time of its bid. The Contractor is encouraged to seek additional participation during the life of </w:t>
      </w:r>
      <w:r>
        <w:t>the Contract</w:t>
      </w:r>
      <w:r w:rsidRPr="00F000BE">
        <w:t>.</w:t>
      </w:r>
    </w:p>
    <w:p w14:paraId="259C491E" w14:textId="77777777" w:rsidR="00FB6144" w:rsidRPr="00F000BE" w:rsidRDefault="00FB6144" w:rsidP="00FB6144">
      <w:pPr>
        <w:ind w:left="1080"/>
        <w:jc w:val="both"/>
      </w:pPr>
    </w:p>
    <w:p w14:paraId="77ADDB7D" w14:textId="77777777" w:rsidR="00FB6144" w:rsidRPr="00BF6964" w:rsidRDefault="006F56BA" w:rsidP="00FB6144">
      <w:pPr>
        <w:ind w:left="1080"/>
        <w:jc w:val="both"/>
        <w:rPr>
          <w:rFonts w:cs="Arial"/>
        </w:rPr>
      </w:pPr>
      <w:r w:rsidRPr="00BF6964">
        <w:rPr>
          <w:rFonts w:cs="Arial"/>
        </w:rPr>
        <w:t>If the Contractor fails to conform to the schedule of DBE participation as shown on the progress schedule, or at any p</w:t>
      </w:r>
      <w:r w:rsidRPr="00BF6964">
        <w:rPr>
          <w:rFonts w:cs="Arial"/>
        </w:rPr>
        <w:t xml:space="preserve">oint at which it is clearly evident that the remaining dollar value of allowable credit for performing work is insufficient to obtain the scheduled participation, the Contractor and any aforementioned affiliates may be enjoined from bidding for 60 days or </w:t>
      </w:r>
      <w:r w:rsidRPr="00BF6964">
        <w:rPr>
          <w:rFonts w:cs="Arial"/>
        </w:rPr>
        <w:t>until such time as conformance with the schedule of DBE participation is achieved. In such instances, the Contractor is expected to seek DBE participation towards meeting the goal during the prosecution of the Contract.</w:t>
      </w:r>
    </w:p>
    <w:p w14:paraId="63CA3136" w14:textId="77777777" w:rsidR="00FB6144" w:rsidRPr="00BF6964" w:rsidRDefault="00FB6144" w:rsidP="00FB6144">
      <w:pPr>
        <w:ind w:left="1080"/>
        <w:jc w:val="both"/>
        <w:rPr>
          <w:rFonts w:cs="Arial"/>
        </w:rPr>
      </w:pPr>
    </w:p>
    <w:p w14:paraId="5ECEC68C" w14:textId="77777777" w:rsidR="00FB6144" w:rsidRPr="00BF6964" w:rsidRDefault="006F56BA" w:rsidP="00FB6144">
      <w:pPr>
        <w:ind w:left="1080"/>
        <w:jc w:val="both"/>
        <w:rPr>
          <w:rFonts w:cs="Arial"/>
        </w:rPr>
      </w:pPr>
      <w:r w:rsidRPr="00BF6964">
        <w:rPr>
          <w:rFonts w:cs="Arial"/>
        </w:rPr>
        <w:t>If the Contractor fails upon comple</w:t>
      </w:r>
      <w:r w:rsidRPr="00BF6964">
        <w:rPr>
          <w:rFonts w:cs="Arial"/>
        </w:rPr>
        <w:t>tion of the project to meet the required participation, the Contractor and any prime contractual affiliates, as in the case of a joint venture, may be enjoined from bidding as a prime Contractor, or participating as a subcontractor on VDOT projects for a p</w:t>
      </w:r>
      <w:r w:rsidRPr="00BF6964">
        <w:rPr>
          <w:rFonts w:cs="Arial"/>
        </w:rPr>
        <w:t>eriod of 90 days.</w:t>
      </w:r>
    </w:p>
    <w:p w14:paraId="3DA3D236" w14:textId="77777777" w:rsidR="00FB6144" w:rsidRPr="00BF6964" w:rsidRDefault="00FB6144" w:rsidP="00FB6144">
      <w:pPr>
        <w:ind w:left="1080"/>
        <w:jc w:val="both"/>
        <w:rPr>
          <w:rFonts w:cs="Arial"/>
        </w:rPr>
      </w:pPr>
    </w:p>
    <w:p w14:paraId="50C423EE" w14:textId="77777777" w:rsidR="00FB6144" w:rsidRPr="00BF6964" w:rsidRDefault="006F56BA" w:rsidP="00FB6144">
      <w:pPr>
        <w:ind w:left="1080"/>
        <w:jc w:val="both"/>
        <w:rPr>
          <w:rFonts w:cs="Arial"/>
        </w:rPr>
      </w:pPr>
      <w:r w:rsidRPr="00BF6964">
        <w:rPr>
          <w:rFonts w:cs="Arial"/>
        </w:rPr>
        <w:t>Prior to enjoinment from bidding or denial to participate as a subcontractor for failure to comply with participation requirements, as provided hereinbefore, the Contractor may submit documentation to the State Construction Engineer to s</w:t>
      </w:r>
      <w:r w:rsidRPr="00BF6964">
        <w:rPr>
          <w:rFonts w:cs="Arial"/>
        </w:rPr>
        <w:t xml:space="preserve">ubstantiate that failure was due solely to quantitative underrun(s) or elimination of items subcontracted to DBEs, and that all feasible means have been used to obtain the required participation.  The State Construction Engineer </w:t>
      </w:r>
      <w:r w:rsidRPr="00BF6964">
        <w:rPr>
          <w:rFonts w:cs="Arial"/>
        </w:rPr>
        <w:lastRenderedPageBreak/>
        <w:t>upon verification of such d</w:t>
      </w:r>
      <w:r w:rsidRPr="00BF6964">
        <w:rPr>
          <w:rFonts w:cs="Arial"/>
        </w:rPr>
        <w:t>ocumentation shall make a determination whether or not the Contractor has met the requirements of the Contract.</w:t>
      </w:r>
    </w:p>
    <w:p w14:paraId="0FA331CA" w14:textId="77777777" w:rsidR="00FB6144" w:rsidRPr="00BF6964" w:rsidRDefault="00FB6144" w:rsidP="00FB6144">
      <w:pPr>
        <w:ind w:left="1080"/>
        <w:jc w:val="both"/>
        <w:rPr>
          <w:rFonts w:cs="Arial"/>
        </w:rPr>
      </w:pPr>
    </w:p>
    <w:p w14:paraId="02B9BB13" w14:textId="77777777" w:rsidR="00FB6144" w:rsidRPr="00BF6964" w:rsidRDefault="006F56BA" w:rsidP="00FB6144">
      <w:pPr>
        <w:ind w:left="1080"/>
        <w:jc w:val="both"/>
        <w:rPr>
          <w:rFonts w:cs="Arial"/>
        </w:rPr>
      </w:pPr>
      <w:r w:rsidRPr="00BF6964">
        <w:rPr>
          <w:rFonts w:cs="Arial"/>
        </w:rPr>
        <w:t>If it is determined that the aforementioned documentation is insufficient or the failure to meet required participation is due to other reasons</w:t>
      </w:r>
      <w:r w:rsidRPr="00BF6964">
        <w:rPr>
          <w:rFonts w:cs="Arial"/>
        </w:rPr>
        <w:t>, the Contractor may request an appearance before the Administrative Reconsideration Panel to establish that all feasible means were used to meet such participation requirements.  The decision of the Administrative Reconsideration Panel shall be administra</w:t>
      </w:r>
      <w:r w:rsidRPr="00BF6964">
        <w:rPr>
          <w:rFonts w:cs="Arial"/>
        </w:rPr>
        <w:t>tively final. The enjoinment period will begin upon the Contractor’s failure to request a hearing within the designated time frame or upon the Administrative Reconsideration Panel’s decision to enjoin, as applicable.</w:t>
      </w:r>
    </w:p>
    <w:p w14:paraId="2A4A6D38" w14:textId="77777777" w:rsidR="00FB6144" w:rsidRDefault="00FB6144" w:rsidP="00FB6144">
      <w:pPr>
        <w:pStyle w:val="ListParagraph"/>
        <w:ind w:left="1080"/>
        <w:jc w:val="both"/>
        <w:rPr>
          <w:rFonts w:cs="Arial"/>
          <w:b/>
          <w:bCs/>
        </w:rPr>
      </w:pPr>
    </w:p>
    <w:p w14:paraId="044CC25C" w14:textId="77777777" w:rsidR="00FB6144" w:rsidRPr="00BF6964" w:rsidRDefault="006F56BA" w:rsidP="00FB6144">
      <w:pPr>
        <w:pStyle w:val="ListParagraph"/>
        <w:numPr>
          <w:ilvl w:val="1"/>
          <w:numId w:val="12"/>
        </w:numPr>
        <w:jc w:val="both"/>
        <w:rPr>
          <w:rFonts w:cs="Arial"/>
          <w:b/>
          <w:bCs/>
        </w:rPr>
      </w:pPr>
      <w:r w:rsidRPr="00BF6964">
        <w:rPr>
          <w:b/>
        </w:rPr>
        <w:t xml:space="preserve">Verification of DBE Participation and </w:t>
      </w:r>
      <w:r w:rsidRPr="00BF6964">
        <w:rPr>
          <w:b/>
        </w:rPr>
        <w:t>Imposed Damages</w:t>
      </w:r>
    </w:p>
    <w:p w14:paraId="0FC8F2B4" w14:textId="77777777" w:rsidR="00FB6144" w:rsidRPr="00BF6964" w:rsidRDefault="00FB6144" w:rsidP="00FB6144">
      <w:pPr>
        <w:pStyle w:val="ListParagraph"/>
        <w:ind w:left="1080"/>
        <w:jc w:val="both"/>
        <w:rPr>
          <w:rFonts w:cs="Arial"/>
          <w:b/>
          <w:bCs/>
        </w:rPr>
      </w:pPr>
    </w:p>
    <w:p w14:paraId="2B13AE78" w14:textId="77777777" w:rsidR="00FB6144" w:rsidRDefault="006F56BA" w:rsidP="00FB6144">
      <w:pPr>
        <w:pStyle w:val="ListParagraph"/>
        <w:ind w:left="1080"/>
        <w:jc w:val="both"/>
      </w:pPr>
      <w:r w:rsidRPr="00F000BE">
        <w:t>If the Contractor fails to comply with correctly completing and submitting any of the required documentation requested by this provision within the specified time frames, the Department will withhold payment of the monthly progress estimat</w:t>
      </w:r>
      <w:r w:rsidRPr="00F000BE">
        <w:t xml:space="preserve">e until such time as the required submissions are received by VDOT.  Where such failures to provide required submittals or documentation are repeated the Department will move to enjoin </w:t>
      </w:r>
      <w:r w:rsidRPr="00BF6964">
        <w:rPr>
          <w:rFonts w:cs="Arial"/>
        </w:rPr>
        <w:t xml:space="preserve">the Contractor and any prime contractual affiliates, as in the case of </w:t>
      </w:r>
      <w:r w:rsidRPr="00BF6964">
        <w:rPr>
          <w:rFonts w:cs="Arial"/>
        </w:rPr>
        <w:t>a joint venture, from bidding as a prime Contractor, or participating as a subcontractor on VDOT projects until</w:t>
      </w:r>
      <w:r w:rsidRPr="00F000BE">
        <w:t xml:space="preserve"> such submissions are received.</w:t>
      </w:r>
    </w:p>
    <w:p w14:paraId="2D190B96" w14:textId="77777777" w:rsidR="00FB6144" w:rsidRPr="00BF6964" w:rsidRDefault="00FB6144" w:rsidP="00FB6144">
      <w:pPr>
        <w:pStyle w:val="ListParagraph"/>
        <w:ind w:left="1080"/>
        <w:jc w:val="both"/>
        <w:rPr>
          <w:rFonts w:cs="Arial"/>
          <w:b/>
          <w:bCs/>
        </w:rPr>
      </w:pPr>
    </w:p>
    <w:p w14:paraId="34DE32BD" w14:textId="77777777" w:rsidR="00FB6144" w:rsidRPr="00BF6964" w:rsidRDefault="006F56BA" w:rsidP="00FB6144">
      <w:pPr>
        <w:pStyle w:val="ListParagraph"/>
        <w:numPr>
          <w:ilvl w:val="0"/>
          <w:numId w:val="12"/>
        </w:numPr>
        <w:jc w:val="both"/>
        <w:rPr>
          <w:rFonts w:cs="Arial"/>
          <w:b/>
          <w:bCs/>
        </w:rPr>
      </w:pPr>
      <w:r w:rsidRPr="00F000BE">
        <w:rPr>
          <w:rFonts w:cs="Arial"/>
          <w:b/>
        </w:rPr>
        <w:t>Suspect Evidence of Criminal Behavior</w:t>
      </w:r>
    </w:p>
    <w:p w14:paraId="4B4D4DCF" w14:textId="77777777" w:rsidR="00FB6144" w:rsidRPr="00F000BE" w:rsidRDefault="00FB6144" w:rsidP="00FB6144">
      <w:pPr>
        <w:ind w:left="1080"/>
        <w:jc w:val="both"/>
      </w:pPr>
    </w:p>
    <w:p w14:paraId="6FAECD2C" w14:textId="77777777" w:rsidR="00FB6144" w:rsidRDefault="006F56BA" w:rsidP="00FB6144">
      <w:pPr>
        <w:ind w:left="720"/>
        <w:jc w:val="both"/>
        <w:rPr>
          <w:rFonts w:cs="Arial"/>
        </w:rPr>
      </w:pPr>
      <w:r w:rsidRPr="00F000BE">
        <w:rPr>
          <w:rFonts w:cs="Arial"/>
        </w:rPr>
        <w:t>In addition to the remedies described heretofore in this provision VDOT a</w:t>
      </w:r>
      <w:r w:rsidRPr="00F000BE">
        <w:rPr>
          <w:rFonts w:cs="Arial"/>
        </w:rPr>
        <w:t>lso exercises its rights with respect to the following remedies:</w:t>
      </w:r>
    </w:p>
    <w:p w14:paraId="2001FC0F" w14:textId="77777777" w:rsidR="00FB6144" w:rsidRDefault="00FB6144" w:rsidP="00FB6144">
      <w:pPr>
        <w:ind w:left="720"/>
        <w:jc w:val="both"/>
        <w:rPr>
          <w:rFonts w:cs="Arial"/>
        </w:rPr>
      </w:pPr>
    </w:p>
    <w:p w14:paraId="072F94A8" w14:textId="77777777" w:rsidR="00FB6144" w:rsidRPr="00BF6964" w:rsidRDefault="006F56BA" w:rsidP="00FB6144">
      <w:pPr>
        <w:pStyle w:val="ListParagraph"/>
        <w:numPr>
          <w:ilvl w:val="0"/>
          <w:numId w:val="14"/>
        </w:numPr>
        <w:ind w:left="1080"/>
        <w:jc w:val="both"/>
        <w:rPr>
          <w:rFonts w:cs="Arial"/>
        </w:rPr>
      </w:pPr>
      <w:r w:rsidRPr="00F000BE">
        <w:t xml:space="preserve">Failure of a bidder, Contractor, or subcontractor to comply with the Virginia Department of Transportation Road and Bridge Specifications and these Special Provisions wherein there appears </w:t>
      </w:r>
      <w:r w:rsidRPr="00F000BE">
        <w:t>to be evidence of criminal conduct shall be referred to the Attorney General for the Commonwealth of Virginia and/or the FHWA Inspector General for criminal investigation and, if warranted prosecution.</w:t>
      </w:r>
    </w:p>
    <w:p w14:paraId="4766B644" w14:textId="77777777" w:rsidR="00FB6144" w:rsidRPr="00BF6964" w:rsidRDefault="00FB6144" w:rsidP="00FB6144">
      <w:pPr>
        <w:pStyle w:val="ListParagraph"/>
        <w:ind w:left="1080"/>
        <w:jc w:val="both"/>
        <w:rPr>
          <w:rFonts w:cs="Arial"/>
        </w:rPr>
      </w:pPr>
    </w:p>
    <w:p w14:paraId="4A6B223F" w14:textId="77777777" w:rsidR="00FB6144" w:rsidRPr="00BF6964" w:rsidRDefault="006F56BA" w:rsidP="00FB6144">
      <w:pPr>
        <w:pStyle w:val="ListParagraph"/>
        <w:numPr>
          <w:ilvl w:val="0"/>
          <w:numId w:val="14"/>
        </w:numPr>
        <w:ind w:left="1080"/>
        <w:jc w:val="both"/>
        <w:rPr>
          <w:rFonts w:cs="Arial"/>
        </w:rPr>
      </w:pPr>
      <w:r w:rsidRPr="00BF6964">
        <w:rPr>
          <w:rFonts w:cs="Arial"/>
        </w:rPr>
        <w:t>In appropriate cases, VDOT will bring to the attentio</w:t>
      </w:r>
      <w:r w:rsidRPr="00BF6964">
        <w:rPr>
          <w:rFonts w:cs="Arial"/>
        </w:rPr>
        <w:t>n of the U. S. Department of Transportation (USDOT) any appearance of false, fraudulent, or dishonest conduct in connection with the DBE program, so that USDOT can take the steps, e.g., referral to the Department of Justice for criminal prosecution, referr</w:t>
      </w:r>
      <w:r w:rsidRPr="00BF6964">
        <w:rPr>
          <w:rFonts w:cs="Arial"/>
        </w:rPr>
        <w:t>al to the USDOT Inspector General, action under suspension and debarment or Program Fraud and Civil Penalties rules provided in 49CFR Part 31.</w:t>
      </w:r>
    </w:p>
    <w:p w14:paraId="0B0DB909" w14:textId="77777777" w:rsidR="00FB6144" w:rsidRPr="00F000BE" w:rsidRDefault="00FB6144" w:rsidP="00FB6144">
      <w:pPr>
        <w:ind w:left="1080"/>
        <w:jc w:val="both"/>
      </w:pPr>
    </w:p>
    <w:sectPr w:rsidR="00FB6144" w:rsidRPr="00F000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490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2CDD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4A9E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F61B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1E4E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5E09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4819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A6BB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E44A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7A0F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DD7FAF"/>
    <w:multiLevelType w:val="hybridMultilevel"/>
    <w:tmpl w:val="8644519C"/>
    <w:lvl w:ilvl="0" w:tplc="D47AF416">
      <w:start w:val="1"/>
      <w:numFmt w:val="bullet"/>
      <w:lvlText w:val=""/>
      <w:lvlJc w:val="left"/>
      <w:pPr>
        <w:tabs>
          <w:tab w:val="num" w:pos="2174"/>
        </w:tabs>
        <w:ind w:left="2174" w:hanging="360"/>
      </w:pPr>
      <w:rPr>
        <w:rFonts w:ascii="Symbol" w:hAnsi="Symbol" w:hint="default"/>
      </w:rPr>
    </w:lvl>
    <w:lvl w:ilvl="1" w:tplc="89F4FDB4" w:tentative="1">
      <w:start w:val="1"/>
      <w:numFmt w:val="bullet"/>
      <w:lvlText w:val="o"/>
      <w:lvlJc w:val="left"/>
      <w:pPr>
        <w:tabs>
          <w:tab w:val="num" w:pos="2894"/>
        </w:tabs>
        <w:ind w:left="2894" w:hanging="360"/>
      </w:pPr>
      <w:rPr>
        <w:rFonts w:ascii="Courier New" w:hAnsi="Courier New" w:cs="Courier New" w:hint="default"/>
      </w:rPr>
    </w:lvl>
    <w:lvl w:ilvl="2" w:tplc="6EFAE21A" w:tentative="1">
      <w:start w:val="1"/>
      <w:numFmt w:val="bullet"/>
      <w:lvlText w:val=""/>
      <w:lvlJc w:val="left"/>
      <w:pPr>
        <w:tabs>
          <w:tab w:val="num" w:pos="3614"/>
        </w:tabs>
        <w:ind w:left="3614" w:hanging="360"/>
      </w:pPr>
      <w:rPr>
        <w:rFonts w:ascii="Wingdings" w:hAnsi="Wingdings" w:hint="default"/>
      </w:rPr>
    </w:lvl>
    <w:lvl w:ilvl="3" w:tplc="9926DCA6" w:tentative="1">
      <w:start w:val="1"/>
      <w:numFmt w:val="bullet"/>
      <w:lvlText w:val=""/>
      <w:lvlJc w:val="left"/>
      <w:pPr>
        <w:tabs>
          <w:tab w:val="num" w:pos="4334"/>
        </w:tabs>
        <w:ind w:left="4334" w:hanging="360"/>
      </w:pPr>
      <w:rPr>
        <w:rFonts w:ascii="Symbol" w:hAnsi="Symbol" w:hint="default"/>
      </w:rPr>
    </w:lvl>
    <w:lvl w:ilvl="4" w:tplc="6B88AA50" w:tentative="1">
      <w:start w:val="1"/>
      <w:numFmt w:val="bullet"/>
      <w:lvlText w:val="o"/>
      <w:lvlJc w:val="left"/>
      <w:pPr>
        <w:tabs>
          <w:tab w:val="num" w:pos="5054"/>
        </w:tabs>
        <w:ind w:left="5054" w:hanging="360"/>
      </w:pPr>
      <w:rPr>
        <w:rFonts w:ascii="Courier New" w:hAnsi="Courier New" w:cs="Courier New" w:hint="default"/>
      </w:rPr>
    </w:lvl>
    <w:lvl w:ilvl="5" w:tplc="6E60CD34" w:tentative="1">
      <w:start w:val="1"/>
      <w:numFmt w:val="bullet"/>
      <w:lvlText w:val=""/>
      <w:lvlJc w:val="left"/>
      <w:pPr>
        <w:tabs>
          <w:tab w:val="num" w:pos="5774"/>
        </w:tabs>
        <w:ind w:left="5774" w:hanging="360"/>
      </w:pPr>
      <w:rPr>
        <w:rFonts w:ascii="Wingdings" w:hAnsi="Wingdings" w:hint="default"/>
      </w:rPr>
    </w:lvl>
    <w:lvl w:ilvl="6" w:tplc="C84A4570" w:tentative="1">
      <w:start w:val="1"/>
      <w:numFmt w:val="bullet"/>
      <w:lvlText w:val=""/>
      <w:lvlJc w:val="left"/>
      <w:pPr>
        <w:tabs>
          <w:tab w:val="num" w:pos="6494"/>
        </w:tabs>
        <w:ind w:left="6494" w:hanging="360"/>
      </w:pPr>
      <w:rPr>
        <w:rFonts w:ascii="Symbol" w:hAnsi="Symbol" w:hint="default"/>
      </w:rPr>
    </w:lvl>
    <w:lvl w:ilvl="7" w:tplc="6FE87F50" w:tentative="1">
      <w:start w:val="1"/>
      <w:numFmt w:val="bullet"/>
      <w:lvlText w:val="o"/>
      <w:lvlJc w:val="left"/>
      <w:pPr>
        <w:tabs>
          <w:tab w:val="num" w:pos="7214"/>
        </w:tabs>
        <w:ind w:left="7214" w:hanging="360"/>
      </w:pPr>
      <w:rPr>
        <w:rFonts w:ascii="Courier New" w:hAnsi="Courier New" w:cs="Courier New" w:hint="default"/>
      </w:rPr>
    </w:lvl>
    <w:lvl w:ilvl="8" w:tplc="8B6C23E8"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3E9B743C"/>
    <w:multiLevelType w:val="hybridMultilevel"/>
    <w:tmpl w:val="F2122A3A"/>
    <w:lvl w:ilvl="0" w:tplc="50BE21B2">
      <w:start w:val="1"/>
      <w:numFmt w:val="bullet"/>
      <w:lvlText w:val=""/>
      <w:lvlJc w:val="left"/>
      <w:pPr>
        <w:ind w:left="1440" w:hanging="360"/>
      </w:pPr>
      <w:rPr>
        <w:rFonts w:ascii="Symbol" w:hAnsi="Symbol" w:hint="default"/>
      </w:rPr>
    </w:lvl>
    <w:lvl w:ilvl="1" w:tplc="06AEAF46" w:tentative="1">
      <w:start w:val="1"/>
      <w:numFmt w:val="bullet"/>
      <w:lvlText w:val="o"/>
      <w:lvlJc w:val="left"/>
      <w:pPr>
        <w:ind w:left="2160" w:hanging="360"/>
      </w:pPr>
      <w:rPr>
        <w:rFonts w:ascii="Courier New" w:hAnsi="Courier New" w:cs="Courier New" w:hint="default"/>
      </w:rPr>
    </w:lvl>
    <w:lvl w:ilvl="2" w:tplc="A0624BAC" w:tentative="1">
      <w:start w:val="1"/>
      <w:numFmt w:val="bullet"/>
      <w:lvlText w:val=""/>
      <w:lvlJc w:val="left"/>
      <w:pPr>
        <w:ind w:left="2880" w:hanging="360"/>
      </w:pPr>
      <w:rPr>
        <w:rFonts w:ascii="Wingdings" w:hAnsi="Wingdings" w:hint="default"/>
      </w:rPr>
    </w:lvl>
    <w:lvl w:ilvl="3" w:tplc="9140CAA4" w:tentative="1">
      <w:start w:val="1"/>
      <w:numFmt w:val="bullet"/>
      <w:lvlText w:val=""/>
      <w:lvlJc w:val="left"/>
      <w:pPr>
        <w:ind w:left="3600" w:hanging="360"/>
      </w:pPr>
      <w:rPr>
        <w:rFonts w:ascii="Symbol" w:hAnsi="Symbol" w:hint="default"/>
      </w:rPr>
    </w:lvl>
    <w:lvl w:ilvl="4" w:tplc="B34E6AB6" w:tentative="1">
      <w:start w:val="1"/>
      <w:numFmt w:val="bullet"/>
      <w:lvlText w:val="o"/>
      <w:lvlJc w:val="left"/>
      <w:pPr>
        <w:ind w:left="4320" w:hanging="360"/>
      </w:pPr>
      <w:rPr>
        <w:rFonts w:ascii="Courier New" w:hAnsi="Courier New" w:cs="Courier New" w:hint="default"/>
      </w:rPr>
    </w:lvl>
    <w:lvl w:ilvl="5" w:tplc="38FC9164" w:tentative="1">
      <w:start w:val="1"/>
      <w:numFmt w:val="bullet"/>
      <w:lvlText w:val=""/>
      <w:lvlJc w:val="left"/>
      <w:pPr>
        <w:ind w:left="5040" w:hanging="360"/>
      </w:pPr>
      <w:rPr>
        <w:rFonts w:ascii="Wingdings" w:hAnsi="Wingdings" w:hint="default"/>
      </w:rPr>
    </w:lvl>
    <w:lvl w:ilvl="6" w:tplc="3EB88486" w:tentative="1">
      <w:start w:val="1"/>
      <w:numFmt w:val="bullet"/>
      <w:lvlText w:val=""/>
      <w:lvlJc w:val="left"/>
      <w:pPr>
        <w:ind w:left="5760" w:hanging="360"/>
      </w:pPr>
      <w:rPr>
        <w:rFonts w:ascii="Symbol" w:hAnsi="Symbol" w:hint="default"/>
      </w:rPr>
    </w:lvl>
    <w:lvl w:ilvl="7" w:tplc="9A46F65E" w:tentative="1">
      <w:start w:val="1"/>
      <w:numFmt w:val="bullet"/>
      <w:lvlText w:val="o"/>
      <w:lvlJc w:val="left"/>
      <w:pPr>
        <w:ind w:left="6480" w:hanging="360"/>
      </w:pPr>
      <w:rPr>
        <w:rFonts w:ascii="Courier New" w:hAnsi="Courier New" w:cs="Courier New" w:hint="default"/>
      </w:rPr>
    </w:lvl>
    <w:lvl w:ilvl="8" w:tplc="037C23E2" w:tentative="1">
      <w:start w:val="1"/>
      <w:numFmt w:val="bullet"/>
      <w:lvlText w:val=""/>
      <w:lvlJc w:val="left"/>
      <w:pPr>
        <w:ind w:left="7200" w:hanging="360"/>
      </w:pPr>
      <w:rPr>
        <w:rFonts w:ascii="Wingdings" w:hAnsi="Wingdings" w:hint="default"/>
      </w:rPr>
    </w:lvl>
  </w:abstractNum>
  <w:abstractNum w:abstractNumId="12" w15:restartNumberingAfterBreak="0">
    <w:nsid w:val="5A570B86"/>
    <w:multiLevelType w:val="multilevel"/>
    <w:tmpl w:val="DB76F4B8"/>
    <w:lvl w:ilvl="0">
      <w:start w:val="9"/>
      <w:numFmt w:val="none"/>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Heading6"/>
      <w:suff w:val="nothing"/>
      <w:lvlText w:val="%6"/>
      <w:lvlJc w:val="left"/>
      <w:pPr>
        <w:ind w:left="0" w:firstLine="0"/>
      </w:pPr>
      <w:rPr>
        <w:rFonts w:ascii="Arial" w:hAnsi="Arial"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8"/>
      <w:numFmt w:val="upperLetter"/>
      <w:lvlRestart w:val="0"/>
      <w:pStyle w:val="Heading9"/>
      <w:suff w:val="nothing"/>
      <w:lvlText w:val="%9-"/>
      <w:lvlJc w:val="center"/>
      <w:pPr>
        <w:ind w:left="0" w:firstLine="288"/>
      </w:pPr>
      <w:rPr>
        <w:rFonts w:hint="default"/>
      </w:rPr>
    </w:lvl>
  </w:abstractNum>
  <w:abstractNum w:abstractNumId="13" w15:restartNumberingAfterBreak="0">
    <w:nsid w:val="7D450B1A"/>
    <w:multiLevelType w:val="multilevel"/>
    <w:tmpl w:val="9F448068"/>
    <w:lvl w:ilvl="0">
      <w:start w:val="1"/>
      <w:numFmt w:val="lowerLetter"/>
      <w:lvlText w:val="(%1)"/>
      <w:lvlJc w:val="left"/>
      <w:pPr>
        <w:ind w:left="720" w:hanging="360"/>
      </w:pPr>
      <w:rPr>
        <w:rFonts w:ascii="Arial" w:hAnsi="Arial" w:hint="default"/>
        <w:b w:val="0"/>
        <w:i w:val="0"/>
        <w:sz w:val="20"/>
      </w:rPr>
    </w:lvl>
    <w:lvl w:ilvl="1">
      <w:start w:val="1"/>
      <w:numFmt w:val="decimal"/>
      <w:lvlText w:val="%2."/>
      <w:lvlJc w:val="left"/>
      <w:pPr>
        <w:ind w:left="1080" w:hanging="360"/>
      </w:pPr>
      <w:rPr>
        <w:rFonts w:ascii="Arial" w:hAnsi="Arial" w:hint="default"/>
        <w:b w:val="0"/>
        <w:sz w:val="20"/>
      </w:rPr>
    </w:lvl>
    <w:lvl w:ilvl="2">
      <w:start w:val="1"/>
      <w:numFmt w:val="lowerLetter"/>
      <w:lvlText w:val="%3."/>
      <w:lvlJc w:val="left"/>
      <w:pPr>
        <w:ind w:left="1440" w:hanging="360"/>
      </w:pPr>
      <w:rPr>
        <w:rFonts w:hint="default"/>
        <w:b w:val="0"/>
      </w:rPr>
    </w:lvl>
    <w:lvl w:ilvl="3">
      <w:start w:val="1"/>
      <w:numFmt w:val="decimal"/>
      <w:lvlText w:val="(%4)"/>
      <w:lvlJc w:val="left"/>
      <w:pPr>
        <w:ind w:left="1800" w:hanging="360"/>
      </w:pPr>
      <w:rPr>
        <w:rFonts w:hint="default"/>
        <w:b w:val="0"/>
      </w:rPr>
    </w:lvl>
    <w:lvl w:ilvl="4">
      <w:start w:val="1"/>
      <w:numFmt w:val="lowerLetter"/>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3E"/>
    <w:rsid w:val="00003087"/>
    <w:rsid w:val="0001549B"/>
    <w:rsid w:val="0001784D"/>
    <w:rsid w:val="00026F26"/>
    <w:rsid w:val="0002780A"/>
    <w:rsid w:val="00062167"/>
    <w:rsid w:val="00067551"/>
    <w:rsid w:val="00095DCF"/>
    <w:rsid w:val="000A67BF"/>
    <w:rsid w:val="000C412B"/>
    <w:rsid w:val="000F194F"/>
    <w:rsid w:val="000F5E47"/>
    <w:rsid w:val="00105819"/>
    <w:rsid w:val="00107AEC"/>
    <w:rsid w:val="00117EF8"/>
    <w:rsid w:val="00130682"/>
    <w:rsid w:val="00146C1D"/>
    <w:rsid w:val="00173959"/>
    <w:rsid w:val="00180DF5"/>
    <w:rsid w:val="001901C2"/>
    <w:rsid w:val="00195503"/>
    <w:rsid w:val="001A065B"/>
    <w:rsid w:val="001A09AC"/>
    <w:rsid w:val="001A305C"/>
    <w:rsid w:val="001C4040"/>
    <w:rsid w:val="001C7984"/>
    <w:rsid w:val="00200A57"/>
    <w:rsid w:val="002147D7"/>
    <w:rsid w:val="002149BE"/>
    <w:rsid w:val="00241D0E"/>
    <w:rsid w:val="0025109E"/>
    <w:rsid w:val="00252420"/>
    <w:rsid w:val="00256BDF"/>
    <w:rsid w:val="00280CDE"/>
    <w:rsid w:val="00293D6E"/>
    <w:rsid w:val="002C2E14"/>
    <w:rsid w:val="002D6861"/>
    <w:rsid w:val="002D6F53"/>
    <w:rsid w:val="002D7FF5"/>
    <w:rsid w:val="002E19CA"/>
    <w:rsid w:val="002F6EAB"/>
    <w:rsid w:val="00304D52"/>
    <w:rsid w:val="00330195"/>
    <w:rsid w:val="00352C55"/>
    <w:rsid w:val="003632CD"/>
    <w:rsid w:val="003756EF"/>
    <w:rsid w:val="003D0DA4"/>
    <w:rsid w:val="003D0DE2"/>
    <w:rsid w:val="00407155"/>
    <w:rsid w:val="00413782"/>
    <w:rsid w:val="00432F61"/>
    <w:rsid w:val="004425F3"/>
    <w:rsid w:val="00450017"/>
    <w:rsid w:val="00455534"/>
    <w:rsid w:val="00461FF3"/>
    <w:rsid w:val="00472E9D"/>
    <w:rsid w:val="00477527"/>
    <w:rsid w:val="00480C71"/>
    <w:rsid w:val="00481113"/>
    <w:rsid w:val="0048491E"/>
    <w:rsid w:val="004A029B"/>
    <w:rsid w:val="004B4B71"/>
    <w:rsid w:val="004B7FD4"/>
    <w:rsid w:val="004C068D"/>
    <w:rsid w:val="004C14A1"/>
    <w:rsid w:val="004D4146"/>
    <w:rsid w:val="004E776B"/>
    <w:rsid w:val="004F6C7B"/>
    <w:rsid w:val="00510D35"/>
    <w:rsid w:val="00516FCB"/>
    <w:rsid w:val="00546DC5"/>
    <w:rsid w:val="00574B46"/>
    <w:rsid w:val="005816FC"/>
    <w:rsid w:val="00583A3E"/>
    <w:rsid w:val="00586DC9"/>
    <w:rsid w:val="005A5B11"/>
    <w:rsid w:val="005B2DE5"/>
    <w:rsid w:val="005C180C"/>
    <w:rsid w:val="005D4900"/>
    <w:rsid w:val="005E7D04"/>
    <w:rsid w:val="005F0785"/>
    <w:rsid w:val="00602B84"/>
    <w:rsid w:val="0060772D"/>
    <w:rsid w:val="00627601"/>
    <w:rsid w:val="006323CA"/>
    <w:rsid w:val="00652920"/>
    <w:rsid w:val="00663F3C"/>
    <w:rsid w:val="00676336"/>
    <w:rsid w:val="006825BF"/>
    <w:rsid w:val="00693B47"/>
    <w:rsid w:val="006A07F3"/>
    <w:rsid w:val="006A2261"/>
    <w:rsid w:val="006A2AFF"/>
    <w:rsid w:val="006A3977"/>
    <w:rsid w:val="006B1BA8"/>
    <w:rsid w:val="006B3094"/>
    <w:rsid w:val="006C3E33"/>
    <w:rsid w:val="006F08AB"/>
    <w:rsid w:val="006F17B7"/>
    <w:rsid w:val="006F5463"/>
    <w:rsid w:val="006F56BA"/>
    <w:rsid w:val="0071701C"/>
    <w:rsid w:val="0072326D"/>
    <w:rsid w:val="00724006"/>
    <w:rsid w:val="00725454"/>
    <w:rsid w:val="007304BF"/>
    <w:rsid w:val="007307E1"/>
    <w:rsid w:val="007431DB"/>
    <w:rsid w:val="0075668D"/>
    <w:rsid w:val="0078729B"/>
    <w:rsid w:val="0079545C"/>
    <w:rsid w:val="007A334E"/>
    <w:rsid w:val="007C3D79"/>
    <w:rsid w:val="007C4882"/>
    <w:rsid w:val="007D15E6"/>
    <w:rsid w:val="007D4C15"/>
    <w:rsid w:val="00815945"/>
    <w:rsid w:val="008271E3"/>
    <w:rsid w:val="00833443"/>
    <w:rsid w:val="00862AD9"/>
    <w:rsid w:val="00866C5C"/>
    <w:rsid w:val="00867F9E"/>
    <w:rsid w:val="00874EC9"/>
    <w:rsid w:val="00880B39"/>
    <w:rsid w:val="008A523E"/>
    <w:rsid w:val="009010A5"/>
    <w:rsid w:val="00922499"/>
    <w:rsid w:val="009447A8"/>
    <w:rsid w:val="00944D71"/>
    <w:rsid w:val="00944F39"/>
    <w:rsid w:val="009544D8"/>
    <w:rsid w:val="0096052A"/>
    <w:rsid w:val="0096455F"/>
    <w:rsid w:val="00965CE6"/>
    <w:rsid w:val="009676B5"/>
    <w:rsid w:val="00972B54"/>
    <w:rsid w:val="009779CA"/>
    <w:rsid w:val="009A08ED"/>
    <w:rsid w:val="009A2CFB"/>
    <w:rsid w:val="009A5EE3"/>
    <w:rsid w:val="009A6BD2"/>
    <w:rsid w:val="009D24D6"/>
    <w:rsid w:val="009E6D58"/>
    <w:rsid w:val="009F3964"/>
    <w:rsid w:val="00A00FF3"/>
    <w:rsid w:val="00A0105E"/>
    <w:rsid w:val="00A02BF6"/>
    <w:rsid w:val="00A06350"/>
    <w:rsid w:val="00A1617D"/>
    <w:rsid w:val="00A21ABA"/>
    <w:rsid w:val="00A51519"/>
    <w:rsid w:val="00A65374"/>
    <w:rsid w:val="00A66530"/>
    <w:rsid w:val="00A72A3F"/>
    <w:rsid w:val="00AA49D0"/>
    <w:rsid w:val="00AA4B71"/>
    <w:rsid w:val="00AA5C1E"/>
    <w:rsid w:val="00AB38F9"/>
    <w:rsid w:val="00B03E56"/>
    <w:rsid w:val="00B11F8B"/>
    <w:rsid w:val="00B172D7"/>
    <w:rsid w:val="00B26F38"/>
    <w:rsid w:val="00B27C1F"/>
    <w:rsid w:val="00B32BDD"/>
    <w:rsid w:val="00B34A9C"/>
    <w:rsid w:val="00B8448D"/>
    <w:rsid w:val="00BA4F9F"/>
    <w:rsid w:val="00BB2A76"/>
    <w:rsid w:val="00BB3332"/>
    <w:rsid w:val="00BB4600"/>
    <w:rsid w:val="00BC0A28"/>
    <w:rsid w:val="00BC7D8C"/>
    <w:rsid w:val="00BE2B25"/>
    <w:rsid w:val="00BE3329"/>
    <w:rsid w:val="00BF6964"/>
    <w:rsid w:val="00BF7AC6"/>
    <w:rsid w:val="00C011C3"/>
    <w:rsid w:val="00C16FE5"/>
    <w:rsid w:val="00C335C8"/>
    <w:rsid w:val="00C46D4D"/>
    <w:rsid w:val="00C56BE2"/>
    <w:rsid w:val="00C640E3"/>
    <w:rsid w:val="00C801CB"/>
    <w:rsid w:val="00C927B8"/>
    <w:rsid w:val="00CA5396"/>
    <w:rsid w:val="00CE2566"/>
    <w:rsid w:val="00CE28D8"/>
    <w:rsid w:val="00D07472"/>
    <w:rsid w:val="00D1149F"/>
    <w:rsid w:val="00D17E07"/>
    <w:rsid w:val="00D7425B"/>
    <w:rsid w:val="00D74A4C"/>
    <w:rsid w:val="00D82EF0"/>
    <w:rsid w:val="00D86633"/>
    <w:rsid w:val="00D973D4"/>
    <w:rsid w:val="00DA4E80"/>
    <w:rsid w:val="00DA60C9"/>
    <w:rsid w:val="00DD28D0"/>
    <w:rsid w:val="00DD49ED"/>
    <w:rsid w:val="00DD55AF"/>
    <w:rsid w:val="00DD7EB5"/>
    <w:rsid w:val="00DF5CEC"/>
    <w:rsid w:val="00DF7609"/>
    <w:rsid w:val="00E049D1"/>
    <w:rsid w:val="00E1261C"/>
    <w:rsid w:val="00E34F5C"/>
    <w:rsid w:val="00E358A2"/>
    <w:rsid w:val="00E52DEB"/>
    <w:rsid w:val="00E67DFC"/>
    <w:rsid w:val="00E75AF1"/>
    <w:rsid w:val="00E80EDB"/>
    <w:rsid w:val="00E82975"/>
    <w:rsid w:val="00E91EB6"/>
    <w:rsid w:val="00EA255E"/>
    <w:rsid w:val="00EB28CC"/>
    <w:rsid w:val="00ED101B"/>
    <w:rsid w:val="00EE725B"/>
    <w:rsid w:val="00EF4E5C"/>
    <w:rsid w:val="00F000BE"/>
    <w:rsid w:val="00F234D3"/>
    <w:rsid w:val="00F500E5"/>
    <w:rsid w:val="00F67A7B"/>
    <w:rsid w:val="00F92FF8"/>
    <w:rsid w:val="00FA57F8"/>
    <w:rsid w:val="00FB6144"/>
    <w:rsid w:val="00FC617E"/>
    <w:rsid w:val="00FC76F5"/>
    <w:rsid w:val="00FE504B"/>
    <w:rsid w:val="00FF030F"/>
    <w:rsid w:val="00FF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DD69A"/>
  <w15:docId w15:val="{F4F6C016-9506-4CF9-BD69-8A0A410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rsid w:val="004B4B71"/>
    <w:pPr>
      <w:keepNext/>
      <w:jc w:val="center"/>
      <w:outlineLvl w:val="0"/>
    </w:pPr>
    <w:rPr>
      <w:b/>
      <w:sz w:val="32"/>
    </w:rPr>
  </w:style>
  <w:style w:type="paragraph" w:styleId="Heading2">
    <w:name w:val="heading 2"/>
    <w:basedOn w:val="Normal"/>
    <w:next w:val="Normal"/>
    <w:link w:val="Heading2Char"/>
    <w:qFormat/>
    <w:rsid w:val="004B4B71"/>
    <w:pPr>
      <w:keepNext/>
      <w:numPr>
        <w:ilvl w:val="1"/>
        <w:numId w:val="11"/>
      </w:numPr>
      <w:spacing w:before="240" w:after="60"/>
      <w:jc w:val="center"/>
      <w:outlineLvl w:val="1"/>
    </w:pPr>
    <w:rPr>
      <w:rFonts w:cs="Arial"/>
      <w:b/>
      <w:bCs/>
      <w:iCs/>
      <w:sz w:val="24"/>
      <w:szCs w:val="28"/>
    </w:rPr>
  </w:style>
  <w:style w:type="paragraph" w:styleId="Heading3">
    <w:name w:val="heading 3"/>
    <w:basedOn w:val="Normal"/>
    <w:next w:val="Normal"/>
    <w:link w:val="Heading3Char"/>
    <w:qFormat/>
    <w:rsid w:val="004B4B71"/>
    <w:pPr>
      <w:keepNext/>
      <w:spacing w:before="240" w:after="60"/>
      <w:outlineLvl w:val="2"/>
    </w:pPr>
    <w:rPr>
      <w:rFonts w:ascii="Times New Roman" w:hAnsi="Times New Roman"/>
      <w:b/>
    </w:rPr>
  </w:style>
  <w:style w:type="paragraph" w:styleId="Heading4">
    <w:name w:val="heading 4"/>
    <w:basedOn w:val="Normal"/>
    <w:next w:val="Normal"/>
    <w:link w:val="Heading4Char"/>
    <w:qFormat/>
    <w:rsid w:val="004B4B71"/>
    <w:pPr>
      <w:keepNext/>
      <w:numPr>
        <w:ilvl w:val="3"/>
        <w:numId w:val="11"/>
      </w:numPr>
      <w:jc w:val="center"/>
      <w:outlineLvl w:val="3"/>
    </w:pPr>
    <w:rPr>
      <w:bCs/>
      <w:szCs w:val="28"/>
    </w:rPr>
  </w:style>
  <w:style w:type="paragraph" w:styleId="Heading5">
    <w:name w:val="heading 5"/>
    <w:basedOn w:val="Normal"/>
    <w:next w:val="Normal"/>
    <w:link w:val="Heading5Char"/>
    <w:qFormat/>
    <w:rsid w:val="004B4B71"/>
    <w:pPr>
      <w:numPr>
        <w:ilvl w:val="4"/>
        <w:numId w:val="11"/>
      </w:numPr>
      <w:spacing w:before="240" w:after="60"/>
      <w:jc w:val="both"/>
      <w:outlineLvl w:val="4"/>
    </w:pPr>
    <w:rPr>
      <w:b/>
      <w:bCs/>
      <w:i/>
      <w:iCs/>
      <w:sz w:val="26"/>
      <w:szCs w:val="26"/>
    </w:rPr>
  </w:style>
  <w:style w:type="paragraph" w:styleId="Heading6">
    <w:name w:val="heading 6"/>
    <w:basedOn w:val="Normal"/>
    <w:next w:val="Normal"/>
    <w:link w:val="Heading6Char"/>
    <w:qFormat/>
    <w:rsid w:val="004B4B71"/>
    <w:pPr>
      <w:numPr>
        <w:ilvl w:val="5"/>
        <w:numId w:val="11"/>
      </w:numPr>
      <w:spacing w:before="240" w:after="60"/>
      <w:jc w:val="both"/>
      <w:outlineLvl w:val="5"/>
    </w:pPr>
    <w:rPr>
      <w:rFonts w:ascii="Times New Roman" w:hAnsi="Times New Roman"/>
      <w:b/>
      <w:bCs/>
      <w:sz w:val="22"/>
      <w:szCs w:val="22"/>
    </w:rPr>
  </w:style>
  <w:style w:type="paragraph" w:styleId="Heading7">
    <w:name w:val="heading 7"/>
    <w:basedOn w:val="Normal"/>
    <w:next w:val="Normal"/>
    <w:link w:val="Heading7Char"/>
    <w:qFormat/>
    <w:rsid w:val="004B4B71"/>
    <w:pPr>
      <w:numPr>
        <w:ilvl w:val="6"/>
        <w:numId w:val="11"/>
      </w:numPr>
      <w:spacing w:before="240" w:after="60"/>
      <w:jc w:val="both"/>
      <w:outlineLvl w:val="6"/>
    </w:pPr>
    <w:rPr>
      <w:rFonts w:ascii="Times New Roman" w:hAnsi="Times New Roman"/>
      <w:sz w:val="24"/>
      <w:szCs w:val="24"/>
    </w:rPr>
  </w:style>
  <w:style w:type="paragraph" w:styleId="Heading8">
    <w:name w:val="heading 8"/>
    <w:basedOn w:val="Normal"/>
    <w:next w:val="Normal"/>
    <w:link w:val="Heading8Char"/>
    <w:qFormat/>
    <w:rsid w:val="004B4B71"/>
    <w:pPr>
      <w:numPr>
        <w:ilvl w:val="7"/>
        <w:numId w:val="11"/>
      </w:numPr>
      <w:spacing w:before="240" w:after="60"/>
      <w:jc w:val="both"/>
      <w:outlineLvl w:val="7"/>
    </w:pPr>
    <w:rPr>
      <w:rFonts w:ascii="Times New Roman" w:hAnsi="Times New Roman"/>
      <w:i/>
      <w:iCs/>
      <w:sz w:val="24"/>
      <w:szCs w:val="24"/>
    </w:rPr>
  </w:style>
  <w:style w:type="paragraph" w:styleId="Heading9">
    <w:name w:val="heading 9"/>
    <w:basedOn w:val="Normal"/>
    <w:next w:val="Normal"/>
    <w:link w:val="Heading9Char"/>
    <w:qFormat/>
    <w:rsid w:val="004B4B71"/>
    <w:pPr>
      <w:numPr>
        <w:ilvl w:val="8"/>
        <w:numId w:val="11"/>
      </w:numPr>
      <w:jc w:val="cente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OC1">
    <w:name w:val="toc 1"/>
    <w:basedOn w:val="Normal"/>
    <w:next w:val="Normal"/>
    <w:autoRedefine/>
    <w:uiPriority w:val="39"/>
    <w:rsid w:val="00FF3AA6"/>
  </w:style>
  <w:style w:type="character" w:styleId="Hyperlink">
    <w:name w:val="Hyperlink"/>
    <w:uiPriority w:val="99"/>
    <w:rsid w:val="00FF3AA6"/>
    <w:rPr>
      <w:color w:val="0000FF"/>
      <w:u w:val="single"/>
    </w:rPr>
  </w:style>
  <w:style w:type="paragraph" w:customStyle="1" w:styleId="Default">
    <w:name w:val="Default"/>
    <w:rsid w:val="00FF3AA6"/>
    <w:pPr>
      <w:autoSpaceDE w:val="0"/>
      <w:autoSpaceDN w:val="0"/>
      <w:adjustRightInd w:val="0"/>
    </w:pPr>
    <w:rPr>
      <w:rFonts w:ascii="Arial" w:hAnsi="Arial" w:cs="Arial"/>
      <w:color w:val="000000"/>
      <w:sz w:val="24"/>
      <w:szCs w:val="24"/>
    </w:rPr>
  </w:style>
  <w:style w:type="character" w:customStyle="1" w:styleId="A0">
    <w:name w:val="A0"/>
    <w:uiPriority w:val="99"/>
    <w:rsid w:val="00FF3AA6"/>
    <w:rPr>
      <w:rFonts w:cs="TimesNewRomanPS"/>
      <w:color w:val="221E1F"/>
      <w:sz w:val="18"/>
      <w:szCs w:val="18"/>
    </w:rPr>
  </w:style>
  <w:style w:type="paragraph" w:styleId="ListParagraph">
    <w:name w:val="List Paragraph"/>
    <w:basedOn w:val="Normal"/>
    <w:uiPriority w:val="34"/>
    <w:qFormat/>
    <w:rsid w:val="00FF3AA6"/>
    <w:pPr>
      <w:ind w:left="720"/>
      <w:contextualSpacing/>
    </w:pPr>
    <w:rPr>
      <w:rFonts w:eastAsiaTheme="minorHAnsi" w:cstheme="minorBidi"/>
      <w:szCs w:val="22"/>
    </w:rPr>
  </w:style>
  <w:style w:type="paragraph" w:styleId="NormalWeb">
    <w:name w:val="Normal (Web)"/>
    <w:basedOn w:val="Normal"/>
    <w:rsid w:val="004B4B71"/>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unhideWhenUsed/>
    <w:rsid w:val="004B4B71"/>
    <w:pPr>
      <w:spacing w:after="120"/>
    </w:pPr>
    <w:rPr>
      <w:sz w:val="16"/>
      <w:szCs w:val="16"/>
    </w:rPr>
  </w:style>
  <w:style w:type="character" w:customStyle="1" w:styleId="BodyText3Char">
    <w:name w:val="Body Text 3 Char"/>
    <w:basedOn w:val="DefaultParagraphFont"/>
    <w:link w:val="BodyText3"/>
    <w:rsid w:val="004B4B71"/>
    <w:rPr>
      <w:rFonts w:ascii="Arial" w:hAnsi="Arial"/>
      <w:sz w:val="16"/>
      <w:szCs w:val="16"/>
    </w:rPr>
  </w:style>
  <w:style w:type="character" w:customStyle="1" w:styleId="HeaderChar">
    <w:name w:val="Header Char"/>
    <w:basedOn w:val="DefaultParagraphFont"/>
    <w:link w:val="Header"/>
    <w:rsid w:val="004B4B71"/>
    <w:rPr>
      <w:rFonts w:ascii="Arial" w:hAnsi="Arial"/>
    </w:rPr>
  </w:style>
  <w:style w:type="character" w:customStyle="1" w:styleId="FooterChar">
    <w:name w:val="Footer Char"/>
    <w:basedOn w:val="DefaultParagraphFont"/>
    <w:link w:val="Footer"/>
    <w:rsid w:val="004B4B71"/>
    <w:rPr>
      <w:rFonts w:ascii="Arial" w:hAnsi="Arial"/>
    </w:rPr>
  </w:style>
  <w:style w:type="character" w:styleId="CommentReference">
    <w:name w:val="annotation reference"/>
    <w:basedOn w:val="DefaultParagraphFont"/>
    <w:unhideWhenUsed/>
    <w:rsid w:val="004B4B71"/>
    <w:rPr>
      <w:sz w:val="16"/>
      <w:szCs w:val="16"/>
    </w:rPr>
  </w:style>
  <w:style w:type="paragraph" w:styleId="CommentText">
    <w:name w:val="annotation text"/>
    <w:basedOn w:val="Normal"/>
    <w:link w:val="CommentTextChar"/>
    <w:unhideWhenUsed/>
    <w:rsid w:val="004B4B71"/>
    <w:pPr>
      <w:widowControl w:val="0"/>
    </w:pPr>
    <w:rPr>
      <w:rFonts w:eastAsiaTheme="minorHAnsi" w:cstheme="minorBidi"/>
    </w:rPr>
  </w:style>
  <w:style w:type="character" w:customStyle="1" w:styleId="CommentTextChar">
    <w:name w:val="Comment Text Char"/>
    <w:basedOn w:val="DefaultParagraphFont"/>
    <w:link w:val="CommentText"/>
    <w:rsid w:val="004B4B71"/>
    <w:rPr>
      <w:rFonts w:ascii="Arial" w:eastAsiaTheme="minorHAnsi" w:hAnsi="Arial" w:cstheme="minorBidi"/>
    </w:rPr>
  </w:style>
  <w:style w:type="paragraph" w:styleId="CommentSubject">
    <w:name w:val="annotation subject"/>
    <w:basedOn w:val="CommentText"/>
    <w:next w:val="CommentText"/>
    <w:link w:val="CommentSubjectChar"/>
    <w:unhideWhenUsed/>
    <w:rsid w:val="004B4B71"/>
    <w:rPr>
      <w:b/>
      <w:bCs/>
    </w:rPr>
  </w:style>
  <w:style w:type="character" w:customStyle="1" w:styleId="CommentSubjectChar">
    <w:name w:val="Comment Subject Char"/>
    <w:basedOn w:val="CommentTextChar"/>
    <w:link w:val="CommentSubject"/>
    <w:rsid w:val="004B4B71"/>
    <w:rPr>
      <w:rFonts w:ascii="Arial" w:eastAsiaTheme="minorHAnsi" w:hAnsi="Arial" w:cstheme="minorBidi"/>
      <w:b/>
      <w:bCs/>
    </w:rPr>
  </w:style>
  <w:style w:type="paragraph" w:styleId="BalloonText">
    <w:name w:val="Balloon Text"/>
    <w:basedOn w:val="Normal"/>
    <w:link w:val="BalloonTextChar"/>
    <w:unhideWhenUsed/>
    <w:rsid w:val="004B4B71"/>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rsid w:val="004B4B71"/>
    <w:rPr>
      <w:rFonts w:ascii="Tahoma" w:eastAsiaTheme="minorHAnsi" w:hAnsi="Tahoma" w:cs="Tahoma"/>
      <w:sz w:val="16"/>
      <w:szCs w:val="16"/>
    </w:rPr>
  </w:style>
  <w:style w:type="paragraph" w:styleId="FootnoteText">
    <w:name w:val="footnote text"/>
    <w:basedOn w:val="Normal"/>
    <w:link w:val="FootnoteTextChar"/>
    <w:uiPriority w:val="99"/>
    <w:unhideWhenUsed/>
    <w:rsid w:val="004B4B71"/>
    <w:pPr>
      <w:widowControl w:val="0"/>
    </w:pPr>
    <w:rPr>
      <w:rFonts w:eastAsiaTheme="minorHAnsi" w:cstheme="minorBidi"/>
    </w:rPr>
  </w:style>
  <w:style w:type="character" w:customStyle="1" w:styleId="FootnoteTextChar">
    <w:name w:val="Footnote Text Char"/>
    <w:basedOn w:val="DefaultParagraphFont"/>
    <w:link w:val="FootnoteText"/>
    <w:uiPriority w:val="99"/>
    <w:rsid w:val="004B4B71"/>
    <w:rPr>
      <w:rFonts w:ascii="Arial" w:eastAsiaTheme="minorHAnsi" w:hAnsi="Arial" w:cstheme="minorBidi"/>
    </w:rPr>
  </w:style>
  <w:style w:type="character" w:styleId="FootnoteReference">
    <w:name w:val="footnote reference"/>
    <w:basedOn w:val="DefaultParagraphFont"/>
    <w:unhideWhenUsed/>
    <w:rsid w:val="004B4B71"/>
    <w:rPr>
      <w:vertAlign w:val="superscript"/>
    </w:rPr>
  </w:style>
  <w:style w:type="paragraph" w:styleId="EndnoteText">
    <w:name w:val="endnote text"/>
    <w:basedOn w:val="Normal"/>
    <w:link w:val="EndnoteTextChar"/>
    <w:uiPriority w:val="99"/>
    <w:unhideWhenUsed/>
    <w:rsid w:val="004B4B71"/>
    <w:pPr>
      <w:widowControl w:val="0"/>
    </w:pPr>
    <w:rPr>
      <w:rFonts w:eastAsiaTheme="minorHAnsi" w:cstheme="minorBidi"/>
    </w:rPr>
  </w:style>
  <w:style w:type="character" w:customStyle="1" w:styleId="EndnoteTextChar">
    <w:name w:val="Endnote Text Char"/>
    <w:basedOn w:val="DefaultParagraphFont"/>
    <w:link w:val="EndnoteText"/>
    <w:uiPriority w:val="99"/>
    <w:rsid w:val="004B4B71"/>
    <w:rPr>
      <w:rFonts w:ascii="Arial" w:eastAsiaTheme="minorHAnsi" w:hAnsi="Arial" w:cstheme="minorBidi"/>
    </w:rPr>
  </w:style>
  <w:style w:type="character" w:styleId="EndnoteReference">
    <w:name w:val="endnote reference"/>
    <w:basedOn w:val="DefaultParagraphFont"/>
    <w:uiPriority w:val="99"/>
    <w:unhideWhenUsed/>
    <w:rsid w:val="004B4B71"/>
    <w:rPr>
      <w:vertAlign w:val="superscript"/>
    </w:rPr>
  </w:style>
  <w:style w:type="numbering" w:customStyle="1" w:styleId="NoList1">
    <w:name w:val="No List1"/>
    <w:next w:val="NoList"/>
    <w:uiPriority w:val="99"/>
    <w:semiHidden/>
    <w:unhideWhenUsed/>
    <w:rsid w:val="004B4B71"/>
  </w:style>
  <w:style w:type="character" w:customStyle="1" w:styleId="Hyperlink1">
    <w:name w:val="Hyperlink1"/>
    <w:basedOn w:val="DefaultParagraphFont"/>
    <w:uiPriority w:val="99"/>
    <w:unhideWhenUsed/>
    <w:rsid w:val="004B4B71"/>
    <w:rPr>
      <w:color w:val="0000FF"/>
      <w:u w:val="single"/>
    </w:rPr>
  </w:style>
  <w:style w:type="character" w:styleId="FollowedHyperlink">
    <w:name w:val="FollowedHyperlink"/>
    <w:basedOn w:val="DefaultParagraphFont"/>
    <w:unhideWhenUsed/>
    <w:rsid w:val="004B4B71"/>
    <w:rPr>
      <w:color w:val="800080" w:themeColor="followedHyperlink"/>
      <w:u w:val="single"/>
    </w:rPr>
  </w:style>
  <w:style w:type="table" w:styleId="TableGrid">
    <w:name w:val="Table Grid"/>
    <w:basedOn w:val="TableNormal"/>
    <w:rsid w:val="004B4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
    <w:name w:val="Heading 1 Char"/>
    <w:basedOn w:val="DefaultParagraphFont"/>
    <w:link w:val="Heading1"/>
    <w:rsid w:val="004B4B71"/>
    <w:rPr>
      <w:rFonts w:ascii="Arial" w:hAnsi="Arial"/>
      <w:b/>
      <w:sz w:val="32"/>
    </w:rPr>
  </w:style>
  <w:style w:type="character" w:customStyle="1" w:styleId="Heading2Char">
    <w:name w:val="Heading 2 Char"/>
    <w:basedOn w:val="DefaultParagraphFont"/>
    <w:link w:val="Heading2"/>
    <w:rsid w:val="004B4B71"/>
    <w:rPr>
      <w:rFonts w:ascii="Arial" w:hAnsi="Arial" w:cs="Arial"/>
      <w:b/>
      <w:bCs/>
      <w:iCs/>
      <w:sz w:val="24"/>
      <w:szCs w:val="28"/>
    </w:rPr>
  </w:style>
  <w:style w:type="character" w:customStyle="1" w:styleId="Heading3Char">
    <w:name w:val="Heading 3 Char"/>
    <w:basedOn w:val="DefaultParagraphFont"/>
    <w:link w:val="Heading3"/>
    <w:rsid w:val="004B4B71"/>
    <w:rPr>
      <w:b/>
    </w:rPr>
  </w:style>
  <w:style w:type="character" w:customStyle="1" w:styleId="Heading4Char">
    <w:name w:val="Heading 4 Char"/>
    <w:basedOn w:val="DefaultParagraphFont"/>
    <w:link w:val="Heading4"/>
    <w:rsid w:val="004B4B71"/>
    <w:rPr>
      <w:rFonts w:ascii="Arial" w:hAnsi="Arial"/>
      <w:bCs/>
      <w:szCs w:val="28"/>
    </w:rPr>
  </w:style>
  <w:style w:type="character" w:customStyle="1" w:styleId="Heading5Char">
    <w:name w:val="Heading 5 Char"/>
    <w:basedOn w:val="DefaultParagraphFont"/>
    <w:link w:val="Heading5"/>
    <w:rsid w:val="004B4B71"/>
    <w:rPr>
      <w:rFonts w:ascii="Arial" w:hAnsi="Arial"/>
      <w:b/>
      <w:bCs/>
      <w:i/>
      <w:iCs/>
      <w:sz w:val="26"/>
      <w:szCs w:val="26"/>
    </w:rPr>
  </w:style>
  <w:style w:type="character" w:customStyle="1" w:styleId="Heading6Char">
    <w:name w:val="Heading 6 Char"/>
    <w:basedOn w:val="DefaultParagraphFont"/>
    <w:link w:val="Heading6"/>
    <w:rsid w:val="004B4B71"/>
    <w:rPr>
      <w:b/>
      <w:bCs/>
      <w:sz w:val="22"/>
      <w:szCs w:val="22"/>
    </w:rPr>
  </w:style>
  <w:style w:type="character" w:customStyle="1" w:styleId="Heading7Char">
    <w:name w:val="Heading 7 Char"/>
    <w:basedOn w:val="DefaultParagraphFont"/>
    <w:link w:val="Heading7"/>
    <w:rsid w:val="004B4B71"/>
    <w:rPr>
      <w:sz w:val="24"/>
      <w:szCs w:val="24"/>
    </w:rPr>
  </w:style>
  <w:style w:type="character" w:customStyle="1" w:styleId="Heading8Char">
    <w:name w:val="Heading 8 Char"/>
    <w:basedOn w:val="DefaultParagraphFont"/>
    <w:link w:val="Heading8"/>
    <w:rsid w:val="004B4B71"/>
    <w:rPr>
      <w:i/>
      <w:iCs/>
      <w:sz w:val="24"/>
      <w:szCs w:val="24"/>
    </w:rPr>
  </w:style>
  <w:style w:type="character" w:customStyle="1" w:styleId="Heading9Char">
    <w:name w:val="Heading 9 Char"/>
    <w:basedOn w:val="DefaultParagraphFont"/>
    <w:link w:val="Heading9"/>
    <w:rsid w:val="004B4B71"/>
    <w:rPr>
      <w:rFonts w:ascii="Arial" w:hAnsi="Arial" w:cs="Arial"/>
      <w:szCs w:val="22"/>
    </w:rPr>
  </w:style>
  <w:style w:type="paragraph" w:styleId="TOC2">
    <w:name w:val="toc 2"/>
    <w:basedOn w:val="Normal"/>
    <w:next w:val="Normal"/>
    <w:uiPriority w:val="39"/>
    <w:rsid w:val="004B4B71"/>
    <w:pPr>
      <w:tabs>
        <w:tab w:val="right" w:leader="dot" w:pos="9360"/>
      </w:tabs>
      <w:ind w:left="200"/>
    </w:pPr>
  </w:style>
  <w:style w:type="paragraph" w:styleId="TOC3">
    <w:name w:val="toc 3"/>
    <w:basedOn w:val="Normal"/>
    <w:next w:val="Normal"/>
    <w:uiPriority w:val="39"/>
    <w:rsid w:val="004B4B71"/>
    <w:pPr>
      <w:tabs>
        <w:tab w:val="right" w:leader="dot" w:pos="9360"/>
      </w:tabs>
      <w:ind w:left="400"/>
    </w:pPr>
  </w:style>
  <w:style w:type="paragraph" w:styleId="TOC4">
    <w:name w:val="toc 4"/>
    <w:basedOn w:val="Normal"/>
    <w:next w:val="Normal"/>
    <w:uiPriority w:val="39"/>
    <w:rsid w:val="004B4B71"/>
    <w:pPr>
      <w:tabs>
        <w:tab w:val="right" w:leader="dot" w:pos="9360"/>
      </w:tabs>
      <w:ind w:left="600"/>
    </w:pPr>
  </w:style>
  <w:style w:type="paragraph" w:styleId="TOC5">
    <w:name w:val="toc 5"/>
    <w:basedOn w:val="Normal"/>
    <w:next w:val="Normal"/>
    <w:uiPriority w:val="39"/>
    <w:rsid w:val="004B4B71"/>
    <w:pPr>
      <w:tabs>
        <w:tab w:val="right" w:leader="dot" w:pos="9360"/>
      </w:tabs>
      <w:ind w:left="800"/>
    </w:pPr>
  </w:style>
  <w:style w:type="paragraph" w:styleId="TOC6">
    <w:name w:val="toc 6"/>
    <w:basedOn w:val="Normal"/>
    <w:next w:val="Normal"/>
    <w:uiPriority w:val="39"/>
    <w:rsid w:val="004B4B71"/>
    <w:pPr>
      <w:tabs>
        <w:tab w:val="right" w:leader="dot" w:pos="9360"/>
      </w:tabs>
      <w:ind w:left="1000"/>
    </w:pPr>
  </w:style>
  <w:style w:type="paragraph" w:styleId="TOC7">
    <w:name w:val="toc 7"/>
    <w:basedOn w:val="Normal"/>
    <w:next w:val="Normal"/>
    <w:uiPriority w:val="39"/>
    <w:rsid w:val="004B4B71"/>
    <w:pPr>
      <w:tabs>
        <w:tab w:val="right" w:leader="dot" w:pos="9360"/>
      </w:tabs>
      <w:ind w:left="1200"/>
    </w:pPr>
  </w:style>
  <w:style w:type="paragraph" w:styleId="TOC8">
    <w:name w:val="toc 8"/>
    <w:basedOn w:val="Normal"/>
    <w:next w:val="Normal"/>
    <w:uiPriority w:val="39"/>
    <w:rsid w:val="004B4B71"/>
    <w:pPr>
      <w:tabs>
        <w:tab w:val="right" w:leader="dot" w:pos="9360"/>
      </w:tabs>
      <w:ind w:left="1400"/>
    </w:pPr>
  </w:style>
  <w:style w:type="paragraph" w:styleId="TOC9">
    <w:name w:val="toc 9"/>
    <w:basedOn w:val="Normal"/>
    <w:next w:val="Normal"/>
    <w:uiPriority w:val="39"/>
    <w:rsid w:val="004B4B71"/>
    <w:pPr>
      <w:tabs>
        <w:tab w:val="right" w:leader="dot" w:pos="9360"/>
      </w:tabs>
      <w:ind w:left="1600"/>
    </w:pPr>
  </w:style>
  <w:style w:type="paragraph" w:styleId="ListBullet">
    <w:name w:val="List Bullet"/>
    <w:basedOn w:val="Normal"/>
    <w:autoRedefine/>
    <w:rsid w:val="004B4B71"/>
    <w:pPr>
      <w:numPr>
        <w:numId w:val="1"/>
      </w:numPr>
      <w:jc w:val="both"/>
    </w:pPr>
  </w:style>
  <w:style w:type="paragraph" w:styleId="ListBullet2">
    <w:name w:val="List Bullet 2"/>
    <w:basedOn w:val="Normal"/>
    <w:autoRedefine/>
    <w:rsid w:val="004B4B71"/>
    <w:pPr>
      <w:numPr>
        <w:numId w:val="2"/>
      </w:numPr>
      <w:spacing w:line="200" w:lineRule="exact"/>
      <w:jc w:val="both"/>
    </w:pPr>
    <w:rPr>
      <w:rFonts w:ascii="Times New Roman" w:hAnsi="Times New Roman"/>
      <w:sz w:val="18"/>
    </w:rPr>
  </w:style>
  <w:style w:type="paragraph" w:styleId="ListBullet3">
    <w:name w:val="List Bullet 3"/>
    <w:basedOn w:val="Normal"/>
    <w:autoRedefine/>
    <w:rsid w:val="004B4B71"/>
    <w:pPr>
      <w:numPr>
        <w:numId w:val="3"/>
      </w:numPr>
      <w:spacing w:line="200" w:lineRule="exact"/>
      <w:jc w:val="both"/>
    </w:pPr>
    <w:rPr>
      <w:rFonts w:ascii="Times New Roman" w:hAnsi="Times New Roman"/>
      <w:sz w:val="18"/>
    </w:rPr>
  </w:style>
  <w:style w:type="paragraph" w:styleId="ListBullet4">
    <w:name w:val="List Bullet 4"/>
    <w:basedOn w:val="Normal"/>
    <w:autoRedefine/>
    <w:rsid w:val="004B4B71"/>
    <w:pPr>
      <w:numPr>
        <w:numId w:val="4"/>
      </w:numPr>
      <w:spacing w:line="200" w:lineRule="exact"/>
      <w:jc w:val="both"/>
    </w:pPr>
    <w:rPr>
      <w:rFonts w:ascii="Times New Roman" w:hAnsi="Times New Roman"/>
      <w:sz w:val="18"/>
    </w:rPr>
  </w:style>
  <w:style w:type="paragraph" w:styleId="ListBullet5">
    <w:name w:val="List Bullet 5"/>
    <w:basedOn w:val="Normal"/>
    <w:autoRedefine/>
    <w:rsid w:val="004B4B71"/>
    <w:pPr>
      <w:numPr>
        <w:numId w:val="5"/>
      </w:numPr>
      <w:spacing w:line="200" w:lineRule="exact"/>
      <w:jc w:val="both"/>
    </w:pPr>
    <w:rPr>
      <w:rFonts w:ascii="Times New Roman" w:hAnsi="Times New Roman"/>
      <w:sz w:val="18"/>
    </w:rPr>
  </w:style>
  <w:style w:type="paragraph" w:styleId="ListNumber">
    <w:name w:val="List Number"/>
    <w:basedOn w:val="Normal"/>
    <w:rsid w:val="004B4B71"/>
    <w:pPr>
      <w:numPr>
        <w:numId w:val="6"/>
      </w:numPr>
      <w:spacing w:line="200" w:lineRule="exact"/>
      <w:jc w:val="both"/>
    </w:pPr>
    <w:rPr>
      <w:rFonts w:ascii="Times New Roman" w:hAnsi="Times New Roman"/>
      <w:sz w:val="18"/>
    </w:rPr>
  </w:style>
  <w:style w:type="paragraph" w:styleId="ListNumber2">
    <w:name w:val="List Number 2"/>
    <w:basedOn w:val="Normal"/>
    <w:rsid w:val="004B4B71"/>
    <w:pPr>
      <w:numPr>
        <w:numId w:val="7"/>
      </w:numPr>
      <w:spacing w:line="200" w:lineRule="exact"/>
      <w:jc w:val="both"/>
    </w:pPr>
    <w:rPr>
      <w:rFonts w:ascii="Times New Roman" w:hAnsi="Times New Roman"/>
      <w:sz w:val="18"/>
    </w:rPr>
  </w:style>
  <w:style w:type="paragraph" w:styleId="ListNumber3">
    <w:name w:val="List Number 3"/>
    <w:basedOn w:val="Normal"/>
    <w:rsid w:val="004B4B71"/>
    <w:pPr>
      <w:numPr>
        <w:numId w:val="8"/>
      </w:numPr>
      <w:spacing w:line="200" w:lineRule="exact"/>
      <w:jc w:val="both"/>
    </w:pPr>
    <w:rPr>
      <w:rFonts w:ascii="Times New Roman" w:hAnsi="Times New Roman"/>
      <w:sz w:val="18"/>
    </w:rPr>
  </w:style>
  <w:style w:type="paragraph" w:styleId="ListNumber4">
    <w:name w:val="List Number 4"/>
    <w:basedOn w:val="Normal"/>
    <w:rsid w:val="004B4B71"/>
    <w:pPr>
      <w:numPr>
        <w:numId w:val="9"/>
      </w:numPr>
      <w:spacing w:line="200" w:lineRule="exact"/>
      <w:jc w:val="both"/>
    </w:pPr>
    <w:rPr>
      <w:rFonts w:ascii="Times New Roman" w:hAnsi="Times New Roman"/>
      <w:sz w:val="18"/>
    </w:rPr>
  </w:style>
  <w:style w:type="paragraph" w:styleId="ListNumber5">
    <w:name w:val="List Number 5"/>
    <w:basedOn w:val="Normal"/>
    <w:rsid w:val="004B4B71"/>
    <w:pPr>
      <w:numPr>
        <w:numId w:val="10"/>
      </w:numPr>
      <w:spacing w:line="200" w:lineRule="exact"/>
      <w:jc w:val="both"/>
    </w:pPr>
    <w:rPr>
      <w:rFonts w:ascii="Times New Roman" w:hAnsi="Times New Roman"/>
      <w:sz w:val="18"/>
    </w:rPr>
  </w:style>
  <w:style w:type="paragraph" w:customStyle="1" w:styleId="Document1">
    <w:name w:val="Document 1"/>
    <w:rsid w:val="004B4B71"/>
    <w:pPr>
      <w:keepNext/>
      <w:keepLines/>
      <w:tabs>
        <w:tab w:val="left" w:pos="-720"/>
      </w:tabs>
      <w:suppressAutoHyphens/>
    </w:pPr>
    <w:rPr>
      <w:rFonts w:ascii="Arial" w:hAnsi="Arial"/>
      <w:sz w:val="17"/>
    </w:rPr>
  </w:style>
  <w:style w:type="paragraph" w:styleId="BodyTextIndent">
    <w:name w:val="Body Text Indent"/>
    <w:basedOn w:val="Normal"/>
    <w:link w:val="BodyTextIndentChar"/>
    <w:rsid w:val="004B4B71"/>
    <w:pPr>
      <w:tabs>
        <w:tab w:val="left" w:pos="10328"/>
      </w:tabs>
      <w:suppressAutoHyphens/>
      <w:ind w:left="288" w:hanging="288"/>
      <w:jc w:val="both"/>
    </w:pPr>
    <w:rPr>
      <w:spacing w:val="-1"/>
    </w:rPr>
  </w:style>
  <w:style w:type="character" w:customStyle="1" w:styleId="BodyTextIndentChar">
    <w:name w:val="Body Text Indent Char"/>
    <w:basedOn w:val="DefaultParagraphFont"/>
    <w:link w:val="BodyTextIndent"/>
    <w:rsid w:val="004B4B71"/>
    <w:rPr>
      <w:rFonts w:ascii="Arial" w:hAnsi="Arial"/>
      <w:spacing w:val="-1"/>
    </w:rPr>
  </w:style>
  <w:style w:type="character" w:styleId="PageNumber">
    <w:name w:val="page number"/>
    <w:basedOn w:val="DefaultParagraphFont"/>
    <w:rsid w:val="004B4B71"/>
  </w:style>
  <w:style w:type="paragraph" w:styleId="Title">
    <w:name w:val="Title"/>
    <w:basedOn w:val="Normal"/>
    <w:link w:val="TitleChar"/>
    <w:qFormat/>
    <w:rsid w:val="004B4B71"/>
    <w:pPr>
      <w:jc w:val="center"/>
    </w:pPr>
    <w:rPr>
      <w:b/>
      <w:bCs/>
    </w:rPr>
  </w:style>
  <w:style w:type="character" w:customStyle="1" w:styleId="TitleChar">
    <w:name w:val="Title Char"/>
    <w:basedOn w:val="DefaultParagraphFont"/>
    <w:link w:val="Title"/>
    <w:rsid w:val="004B4B71"/>
    <w:rPr>
      <w:rFonts w:ascii="Arial" w:hAnsi="Arial"/>
      <w:b/>
      <w:bCs/>
    </w:rPr>
  </w:style>
  <w:style w:type="character" w:styleId="Strong">
    <w:name w:val="Strong"/>
    <w:qFormat/>
    <w:rsid w:val="004B4B71"/>
    <w:rPr>
      <w:b/>
      <w:bCs/>
    </w:rPr>
  </w:style>
  <w:style w:type="paragraph" w:styleId="Subtitle">
    <w:name w:val="Subtitle"/>
    <w:basedOn w:val="Normal"/>
    <w:link w:val="SubtitleChar"/>
    <w:qFormat/>
    <w:rsid w:val="004B4B71"/>
    <w:pPr>
      <w:tabs>
        <w:tab w:val="center" w:pos="4680"/>
      </w:tabs>
      <w:suppressAutoHyphens/>
      <w:jc w:val="center"/>
    </w:pPr>
    <w:rPr>
      <w:rFonts w:ascii="Times New Roman" w:hAnsi="Times New Roman"/>
      <w:b/>
    </w:rPr>
  </w:style>
  <w:style w:type="character" w:customStyle="1" w:styleId="SubtitleChar">
    <w:name w:val="Subtitle Char"/>
    <w:basedOn w:val="DefaultParagraphFont"/>
    <w:link w:val="Subtitle"/>
    <w:rsid w:val="004B4B71"/>
    <w:rPr>
      <w:b/>
    </w:rPr>
  </w:style>
  <w:style w:type="paragraph" w:styleId="BodyTextIndent2">
    <w:name w:val="Body Text Indent 2"/>
    <w:basedOn w:val="Normal"/>
    <w:link w:val="BodyTextIndent2Char"/>
    <w:rsid w:val="004B4B71"/>
    <w:pPr>
      <w:tabs>
        <w:tab w:val="left" w:pos="432"/>
        <w:tab w:val="left" w:pos="720"/>
        <w:tab w:val="left" w:pos="1152"/>
        <w:tab w:val="left" w:pos="1584"/>
        <w:tab w:val="left" w:pos="2016"/>
        <w:tab w:val="left" w:pos="2592"/>
        <w:tab w:val="left" w:pos="4896"/>
        <w:tab w:val="left" w:pos="6192"/>
        <w:tab w:val="left" w:pos="7200"/>
      </w:tabs>
      <w:suppressAutoHyphens/>
      <w:ind w:left="432" w:hanging="432"/>
      <w:jc w:val="both"/>
    </w:pPr>
  </w:style>
  <w:style w:type="character" w:customStyle="1" w:styleId="BodyTextIndent2Char">
    <w:name w:val="Body Text Indent 2 Char"/>
    <w:basedOn w:val="DefaultParagraphFont"/>
    <w:link w:val="BodyTextIndent2"/>
    <w:rsid w:val="004B4B71"/>
    <w:rPr>
      <w:rFonts w:ascii="Arial" w:hAnsi="Arial"/>
    </w:rPr>
  </w:style>
  <w:style w:type="paragraph" w:styleId="BodyTextIndent3">
    <w:name w:val="Body Text Indent 3"/>
    <w:basedOn w:val="Normal"/>
    <w:link w:val="BodyTextIndent3Char"/>
    <w:rsid w:val="004B4B71"/>
    <w:pPr>
      <w:tabs>
        <w:tab w:val="left" w:pos="-1080"/>
        <w:tab w:val="left" w:pos="-720"/>
        <w:tab w:val="left" w:pos="720"/>
        <w:tab w:val="left" w:pos="1170"/>
        <w:tab w:val="left" w:pos="1440"/>
        <w:tab w:val="left" w:pos="1620"/>
        <w:tab w:val="left" w:pos="2070"/>
        <w:tab w:val="left" w:pos="3600"/>
      </w:tabs>
      <w:suppressAutoHyphens/>
      <w:ind w:left="1440"/>
    </w:pPr>
  </w:style>
  <w:style w:type="character" w:customStyle="1" w:styleId="BodyTextIndent3Char">
    <w:name w:val="Body Text Indent 3 Char"/>
    <w:basedOn w:val="DefaultParagraphFont"/>
    <w:link w:val="BodyTextIndent3"/>
    <w:rsid w:val="004B4B71"/>
    <w:rPr>
      <w:rFonts w:ascii="Arial" w:hAnsi="Arial"/>
    </w:rPr>
  </w:style>
  <w:style w:type="character" w:customStyle="1" w:styleId="EquationCaption">
    <w:name w:val="_Equation Caption"/>
    <w:rsid w:val="004B4B71"/>
  </w:style>
  <w:style w:type="paragraph" w:styleId="List">
    <w:name w:val="List"/>
    <w:basedOn w:val="Normal"/>
    <w:rsid w:val="004B4B71"/>
    <w:pPr>
      <w:ind w:left="360" w:hanging="360"/>
    </w:pPr>
  </w:style>
  <w:style w:type="paragraph" w:styleId="List3">
    <w:name w:val="List 3"/>
    <w:basedOn w:val="Normal"/>
    <w:rsid w:val="004B4B71"/>
    <w:pPr>
      <w:ind w:left="1080" w:hanging="360"/>
    </w:pPr>
  </w:style>
  <w:style w:type="paragraph" w:customStyle="1" w:styleId="11TimesMedHang">
    <w:name w:val="11 Times Med Hang"/>
    <w:rsid w:val="004B4B71"/>
    <w:pPr>
      <w:widowControl w:val="0"/>
      <w:spacing w:after="86" w:line="280" w:lineRule="atLeast"/>
      <w:ind w:left="389" w:hanging="245"/>
      <w:jc w:val="both"/>
    </w:pPr>
    <w:rPr>
      <w:rFonts w:ascii="Times" w:hAnsi="Times"/>
      <w:sz w:val="22"/>
    </w:rPr>
  </w:style>
  <w:style w:type="paragraph" w:customStyle="1" w:styleId="12HelvBold">
    <w:name w:val="12 Helv Bold"/>
    <w:next w:val="11TimesMed"/>
    <w:rsid w:val="004B4B71"/>
    <w:pPr>
      <w:widowControl w:val="0"/>
      <w:spacing w:before="115" w:after="43"/>
    </w:pPr>
    <w:rPr>
      <w:rFonts w:ascii="Helvetica" w:hAnsi="Helvetica"/>
      <w:b/>
      <w:sz w:val="24"/>
    </w:rPr>
  </w:style>
  <w:style w:type="paragraph" w:customStyle="1" w:styleId="11TimesMed">
    <w:name w:val="11 Times Med"/>
    <w:rsid w:val="004B4B71"/>
    <w:pPr>
      <w:widowControl w:val="0"/>
      <w:spacing w:after="101" w:line="280" w:lineRule="atLeast"/>
      <w:ind w:left="144" w:firstLine="245"/>
      <w:jc w:val="both"/>
    </w:pPr>
    <w:rPr>
      <w:rFonts w:ascii="Times" w:hAnsi="Times"/>
      <w:color w:val="000000"/>
      <w:sz w:val="22"/>
    </w:rPr>
  </w:style>
  <w:style w:type="paragraph" w:customStyle="1" w:styleId="105TimesSpecs">
    <w:name w:val="10.5 Times Specs"/>
    <w:basedOn w:val="Normal"/>
    <w:rsid w:val="004B4B71"/>
    <w:pPr>
      <w:widowControl w:val="0"/>
      <w:tabs>
        <w:tab w:val="left" w:pos="240"/>
        <w:tab w:val="left" w:pos="540"/>
      </w:tabs>
      <w:spacing w:after="14" w:line="230" w:lineRule="atLeast"/>
      <w:ind w:left="230" w:hanging="230"/>
    </w:pPr>
    <w:rPr>
      <w:rFonts w:ascii="Times" w:hAnsi="Times"/>
      <w:sz w:val="21"/>
    </w:rPr>
  </w:style>
  <w:style w:type="character" w:customStyle="1" w:styleId="emailstyle16">
    <w:name w:val="emailstyle16"/>
    <w:rsid w:val="004B4B71"/>
    <w:rPr>
      <w:rFonts w:ascii="Arial" w:hAnsi="Arial" w:cs="Arial"/>
      <w:color w:val="000080"/>
      <w:sz w:val="20"/>
    </w:rPr>
  </w:style>
  <w:style w:type="paragraph" w:styleId="Index5">
    <w:name w:val="index 5"/>
    <w:basedOn w:val="Normal"/>
    <w:next w:val="Normal"/>
    <w:autoRedefine/>
    <w:rsid w:val="004B4B71"/>
    <w:pPr>
      <w:tabs>
        <w:tab w:val="right" w:leader="dot" w:pos="9350"/>
      </w:tabs>
      <w:ind w:left="72"/>
    </w:pPr>
    <w:rPr>
      <w:bCs/>
      <w:noProof/>
      <w:sz w:val="18"/>
    </w:rPr>
  </w:style>
  <w:style w:type="paragraph" w:styleId="BodyText">
    <w:name w:val="Body Text"/>
    <w:basedOn w:val="Normal"/>
    <w:link w:val="BodyTextChar"/>
    <w:rsid w:val="004B4B71"/>
    <w:pPr>
      <w:jc w:val="both"/>
    </w:pPr>
  </w:style>
  <w:style w:type="character" w:customStyle="1" w:styleId="BodyTextChar">
    <w:name w:val="Body Text Char"/>
    <w:basedOn w:val="DefaultParagraphFont"/>
    <w:link w:val="BodyText"/>
    <w:rsid w:val="004B4B71"/>
    <w:rPr>
      <w:rFonts w:ascii="Arial" w:hAnsi="Arial"/>
    </w:rPr>
  </w:style>
  <w:style w:type="paragraph" w:styleId="BodyText2">
    <w:name w:val="Body Text 2"/>
    <w:basedOn w:val="Normal"/>
    <w:link w:val="BodyText2Char"/>
    <w:rsid w:val="004B4B71"/>
    <w:pPr>
      <w:jc w:val="center"/>
    </w:pPr>
    <w:rPr>
      <w:sz w:val="32"/>
    </w:rPr>
  </w:style>
  <w:style w:type="character" w:customStyle="1" w:styleId="BodyText2Char">
    <w:name w:val="Body Text 2 Char"/>
    <w:basedOn w:val="DefaultParagraphFont"/>
    <w:link w:val="BodyText2"/>
    <w:rsid w:val="004B4B71"/>
    <w:rPr>
      <w:rFonts w:ascii="Arial" w:hAnsi="Arial"/>
      <w:sz w:val="32"/>
    </w:rPr>
  </w:style>
  <w:style w:type="character" w:customStyle="1" w:styleId="emailstyle27">
    <w:name w:val="emailstyle27"/>
    <w:rsid w:val="004B4B71"/>
    <w:rPr>
      <w:rFonts w:ascii="Arial" w:hAnsi="Arial" w:cs="Arial"/>
      <w:color w:val="000080"/>
      <w:sz w:val="20"/>
    </w:rPr>
  </w:style>
  <w:style w:type="paragraph" w:styleId="Index1">
    <w:name w:val="index 1"/>
    <w:basedOn w:val="Normal"/>
    <w:next w:val="Normal"/>
    <w:autoRedefine/>
    <w:rsid w:val="004B4B71"/>
    <w:pPr>
      <w:ind w:left="200" w:hanging="200"/>
    </w:pPr>
  </w:style>
  <w:style w:type="paragraph" w:styleId="Index2">
    <w:name w:val="index 2"/>
    <w:basedOn w:val="Normal"/>
    <w:next w:val="Normal"/>
    <w:autoRedefine/>
    <w:rsid w:val="004B4B71"/>
    <w:pPr>
      <w:ind w:left="400" w:hanging="200"/>
    </w:pPr>
  </w:style>
  <w:style w:type="paragraph" w:styleId="Index3">
    <w:name w:val="index 3"/>
    <w:basedOn w:val="Normal"/>
    <w:next w:val="Normal"/>
    <w:autoRedefine/>
    <w:rsid w:val="004B4B71"/>
    <w:pPr>
      <w:tabs>
        <w:tab w:val="right" w:leader="dot" w:pos="9350"/>
      </w:tabs>
      <w:ind w:left="65"/>
    </w:pPr>
    <w:rPr>
      <w:rFonts w:cs="Arial"/>
      <w:noProof/>
      <w:color w:val="FF0000"/>
      <w:sz w:val="18"/>
    </w:rPr>
  </w:style>
  <w:style w:type="paragraph" w:styleId="Index4">
    <w:name w:val="index 4"/>
    <w:basedOn w:val="Normal"/>
    <w:next w:val="Normal"/>
    <w:autoRedefine/>
    <w:rsid w:val="004B4B71"/>
    <w:pPr>
      <w:tabs>
        <w:tab w:val="right" w:leader="dot" w:pos="9350"/>
      </w:tabs>
    </w:pPr>
    <w:rPr>
      <w:noProof/>
      <w:color w:val="FF0000"/>
      <w:sz w:val="18"/>
    </w:rPr>
  </w:style>
  <w:style w:type="paragraph" w:styleId="Index6">
    <w:name w:val="index 6"/>
    <w:basedOn w:val="Normal"/>
    <w:next w:val="Normal"/>
    <w:autoRedefine/>
    <w:rsid w:val="004B4B71"/>
    <w:pPr>
      <w:tabs>
        <w:tab w:val="left" w:pos="1055"/>
        <w:tab w:val="right" w:leader="dot" w:pos="9350"/>
      </w:tabs>
      <w:ind w:left="155" w:firstLine="35"/>
    </w:pPr>
    <w:rPr>
      <w:noProof/>
      <w:color w:val="FF0000"/>
      <w:sz w:val="18"/>
    </w:rPr>
  </w:style>
  <w:style w:type="paragraph" w:styleId="Date">
    <w:name w:val="Date"/>
    <w:basedOn w:val="Normal"/>
    <w:next w:val="Normal"/>
    <w:link w:val="DateChar"/>
    <w:rsid w:val="004B4B71"/>
  </w:style>
  <w:style w:type="character" w:customStyle="1" w:styleId="DateChar">
    <w:name w:val="Date Char"/>
    <w:basedOn w:val="DefaultParagraphFont"/>
    <w:link w:val="Date"/>
    <w:rsid w:val="004B4B71"/>
    <w:rPr>
      <w:rFonts w:ascii="Arial" w:hAnsi="Arial"/>
    </w:rPr>
  </w:style>
  <w:style w:type="paragraph" w:customStyle="1" w:styleId="Specs">
    <w:name w:val="Specs"/>
    <w:basedOn w:val="Normal"/>
    <w:rsid w:val="004B4B7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style>
  <w:style w:type="character" w:customStyle="1" w:styleId="bold1">
    <w:name w:val="bold1"/>
    <w:rsid w:val="004B4B71"/>
    <w:rPr>
      <w:b/>
      <w:bCs/>
    </w:rPr>
  </w:style>
  <w:style w:type="character" w:customStyle="1" w:styleId="CommentTextChar1">
    <w:name w:val="Comment Text Char1"/>
    <w:rsid w:val="004B4B71"/>
    <w:rPr>
      <w:rFonts w:ascii="Arial" w:hAnsi="Arial"/>
    </w:rPr>
  </w:style>
  <w:style w:type="character" w:customStyle="1" w:styleId="sup-guid-optChar">
    <w:name w:val="* sup-guid-opt Char"/>
    <w:link w:val="sup-guid-opt"/>
    <w:locked/>
    <w:rsid w:val="004B4B71"/>
    <w:rPr>
      <w:rFonts w:ascii="Times" w:hAnsi="Times" w:cs="Times"/>
      <w:sz w:val="22"/>
    </w:rPr>
  </w:style>
  <w:style w:type="paragraph" w:customStyle="1" w:styleId="sup-guid-opt">
    <w:name w:val="* sup-guid-opt"/>
    <w:basedOn w:val="Normal"/>
    <w:next w:val="Normal"/>
    <w:link w:val="sup-guid-optChar"/>
    <w:rsid w:val="004B4B71"/>
    <w:pPr>
      <w:tabs>
        <w:tab w:val="left" w:pos="360"/>
      </w:tabs>
      <w:spacing w:after="60"/>
    </w:pPr>
    <w:rPr>
      <w:rFonts w:ascii="Times" w:hAnsi="Times" w:cs="Times"/>
      <w:sz w:val="22"/>
    </w:rPr>
  </w:style>
  <w:style w:type="paragraph" w:styleId="PlainText">
    <w:name w:val="Plain Text"/>
    <w:basedOn w:val="Normal"/>
    <w:link w:val="PlainTextChar"/>
    <w:uiPriority w:val="99"/>
    <w:unhideWhenUsed/>
    <w:rsid w:val="004B4B71"/>
    <w:rPr>
      <w:rFonts w:ascii="Consolas" w:eastAsia="Calibri" w:hAnsi="Consolas" w:cs="Consolas"/>
      <w:sz w:val="21"/>
      <w:szCs w:val="21"/>
    </w:rPr>
  </w:style>
  <w:style w:type="character" w:customStyle="1" w:styleId="PlainTextChar">
    <w:name w:val="Plain Text Char"/>
    <w:basedOn w:val="DefaultParagraphFont"/>
    <w:link w:val="PlainText"/>
    <w:uiPriority w:val="99"/>
    <w:rsid w:val="004B4B71"/>
    <w:rPr>
      <w:rFonts w:ascii="Consolas" w:eastAsia="Calibri" w:hAnsi="Consolas" w:cs="Consolas"/>
      <w:sz w:val="21"/>
      <w:szCs w:val="21"/>
    </w:rPr>
  </w:style>
  <w:style w:type="paragraph" w:styleId="NoSpacing">
    <w:name w:val="No Spacing"/>
    <w:uiPriority w:val="1"/>
    <w:qFormat/>
    <w:rsid w:val="004B4B71"/>
    <w:rPr>
      <w:rFonts w:ascii="Calibri" w:eastAsia="Calibri" w:hAnsi="Calibri"/>
      <w:sz w:val="22"/>
      <w:szCs w:val="22"/>
    </w:rPr>
  </w:style>
  <w:style w:type="paragraph" w:styleId="Revision">
    <w:name w:val="Revision"/>
    <w:hidden/>
    <w:uiPriority w:val="99"/>
    <w:semiHidden/>
    <w:rsid w:val="004B4B71"/>
    <w:rPr>
      <w:rFonts w:ascii="Arial" w:hAnsi="Arial"/>
    </w:rPr>
  </w:style>
  <w:style w:type="character" w:customStyle="1" w:styleId="emailstyle48">
    <w:name w:val="emailstyle48"/>
    <w:semiHidden/>
    <w:rsid w:val="004B4B71"/>
    <w:rPr>
      <w:rFonts w:ascii="Arial" w:hAnsi="Arial" w:cs="Arial" w:hint="default"/>
      <w:color w:val="000080"/>
      <w:sz w:val="20"/>
    </w:rPr>
  </w:style>
  <w:style w:type="character" w:customStyle="1" w:styleId="emailstyle75">
    <w:name w:val="emailstyle75"/>
    <w:semiHidden/>
    <w:rsid w:val="004B4B71"/>
    <w:rPr>
      <w:rFonts w:ascii="Arial" w:hAnsi="Arial" w:cs="Arial" w:hint="default"/>
      <w:color w:val="000080"/>
      <w:sz w:val="20"/>
    </w:rPr>
  </w:style>
  <w:style w:type="character" w:customStyle="1" w:styleId="BalloonTextChar1">
    <w:name w:val="Balloon Text Char1"/>
    <w:semiHidden/>
    <w:locked/>
    <w:rsid w:val="004B4B71"/>
    <w:rPr>
      <w:rFonts w:ascii="Tahoma" w:hAnsi="Tahoma" w:cs="Tahoma"/>
      <w:sz w:val="16"/>
      <w:szCs w:val="16"/>
    </w:rPr>
  </w:style>
  <w:style w:type="character" w:customStyle="1" w:styleId="CommentSubjectChar1">
    <w:name w:val="Comment Subject Char1"/>
    <w:locked/>
    <w:rsid w:val="004B4B71"/>
    <w:rPr>
      <w:rFonts w:ascii="Arial" w:hAnsi="Arial"/>
      <w:b/>
      <w:bCs/>
    </w:rPr>
  </w:style>
  <w:style w:type="character" w:customStyle="1" w:styleId="ChapterHeadsChar">
    <w:name w:val="Chapter Heads Char"/>
    <w:link w:val="ChapterHeads"/>
    <w:locked/>
    <w:rsid w:val="004B4B71"/>
    <w:rPr>
      <w:rFonts w:ascii="Times" w:hAnsi="Times" w:cs="Times"/>
      <w:b/>
      <w:sz w:val="24"/>
    </w:rPr>
  </w:style>
  <w:style w:type="paragraph" w:customStyle="1" w:styleId="ChapterHeads">
    <w:name w:val="Chapter Heads"/>
    <w:basedOn w:val="Normal"/>
    <w:link w:val="ChapterHeadsChar"/>
    <w:rsid w:val="004B4B71"/>
    <w:pPr>
      <w:spacing w:after="80"/>
      <w:jc w:val="center"/>
    </w:pPr>
    <w:rPr>
      <w:rFonts w:ascii="Times" w:hAnsi="Times" w:cs="Times"/>
      <w:b/>
      <w:sz w:val="24"/>
    </w:rPr>
  </w:style>
  <w:style w:type="character" w:styleId="LineNumber">
    <w:name w:val="line number"/>
    <w:uiPriority w:val="99"/>
    <w:unhideWhenUsed/>
    <w:rsid w:val="004B4B71"/>
  </w:style>
  <w:style w:type="paragraph" w:styleId="Caption">
    <w:name w:val="caption"/>
    <w:basedOn w:val="Normal"/>
    <w:next w:val="Normal"/>
    <w:uiPriority w:val="35"/>
    <w:qFormat/>
    <w:rsid w:val="00A00FF3"/>
    <w:rPr>
      <w:rFonts w:ascii="Courier New" w:hAnsi="Courier New"/>
    </w:rPr>
  </w:style>
  <w:style w:type="paragraph" w:customStyle="1" w:styleId="Style1">
    <w:name w:val="Style1"/>
    <w:basedOn w:val="Normal"/>
    <w:next w:val="Normal"/>
    <w:rsid w:val="00A00FF3"/>
    <w:pPr>
      <w:jc w:val="both"/>
    </w:pPr>
    <w:rPr>
      <w:rFonts w:cs="Arial"/>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rginiadot.org/business/resources/const/Exp_DBE_Commitmen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dotforms.vdot.virgini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rginiadot.org/business/resources/Civil_Rights/VDOT_DBE_Program_Pla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COVGOV.SHAREPOINT.COM/sites/TM-VDOT-SC-Specifications-External/2016_Standard_Specifications/SP107-150100-01.docx" TargetMode="External"/><Relationship Id="rId4" Type="http://schemas.openxmlformats.org/officeDocument/2006/relationships/customXml" Target="../customXml/item4.xml"/><Relationship Id="rId9" Type="http://schemas.openxmlformats.org/officeDocument/2006/relationships/hyperlink" Target="HTTPS://COVGOV.SHAREPOINT.COM/sites/TM-VDOT-SC-Specifications-External/2016_Standard_Specifications/SP107-001510-02.docx" TargetMode="External"/><Relationship Id="rId14" Type="http://schemas.openxmlformats.org/officeDocument/2006/relationships/hyperlink" Target="http://vdotforms.vdot.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ef420af-b169-4951-8996-aa1af63513e2">Active</Status>
    <Sect xmlns="5ef420af-b169-4951-8996-aa1af63513e2">107</Sect>
    <Date_x0020_in_x0020_Spec_x0020_Book_x0020_or_x0020_Supplement xmlns="5ef420af-b169-4951-8996-aa1af63513e2">5555-05-05T04:00:00+00:00</Date_x0020_in_x0020_Spec_x0020_Book_x0020_or_x0020_Supplement>
    <Districts_x0020__x002d__x0020_Not_x0020_All_x0020__x0028_Specify_x0029_ xmlns="5ef420af-b169-4951-8996-aa1af63513e2">All</Districts_x0020__x002d__x0020_Not_x0020_All_x0020__x0028_Specify_x0029_>
    <Expiration_x0020_Date0 xmlns="5ef420af-b169-4951-8996-aa1af63513e2">5555-05-05T04:00:00+00:00</Expiration_x0020_Date0>
    <Contains_x0020_Fields xmlns="5ef420af-b169-4951-8996-aa1af63513e2">No</Contains_x0020_Fields>
    <Choice xmlns="5ef420af-b169-4951-8996-aa1af63513e2">true</Choice>
    <Funds_x0020__x0028_State_x0029_ xmlns="5ef420af-b169-4951-8996-aa1af63513e2">false</Funds_x0020__x0028_State_x0029_>
    <C_x0020__x0026__x0020_R_x0020_Date xmlns="5ef420af-b169-4951-8996-aa1af63513e2">2018-01-09T05:00:00+00:00</C_x0020__x0026__x0020_R_x0020_Date>
    <Advertisement xmlns="5ef420af-b169-4951-8996-aa1af63513e2">2019-02-12T05:00:00+00:00</Advertisement>
    <Correct_x0020__x0026__x0020_Run xmlns="5ef420af-b169-4951-8996-aa1af63513e2">Replacement</Correct_x0020__x0026__x0020_Run>
    <Funds_x0020__x0028_Federal_x0029_ xmlns="5ef420af-b169-4951-8996-aa1af63513e2">true</Funds_x0020__x0028_Federal_x0029_>
    <Usage_x0020_Guidance xmlns="5ef420af-b169-4951-8996-aa1af63513e2">Federal projects only.{2007-S107HF1}</Usage_x0020_Guidance>
    <Specification_x0020_Category xmlns="5ef420af-b169-4951-8996-aa1af63513e2">1 General Provisions</Specification_x0020_Category>
    <Web_x0020_List xmlns="5ef420af-b169-4951-8996-aa1af63513e2">true</Web_x0020_List>
    <Lists_x0020__x0028_Specify_x0020_Other_x0029_ xmlns="5ef420af-b169-4951-8996-aa1af63513e2">01 Federal Funds</Lists_x0020__x0028_Specify_x0020_Other_x0029_>
    <Pick_x002d_List_x0020_Choice xmlns="5ef420af-b169-4951-8996-aa1af63513e2">false</Pick_x002d_List_x0020_Choice>
    <Availability_x0020_Date xmlns="5ef420af-b169-4951-8996-aa1af63513e2">2020-02-21T05:00:00+00:00</Availability_x0020_Date>
    <Use_x0020__x002d__x0020_Not_x0020_All_x0020__x0028_Specify_x0029_ xmlns="5ef420af-b169-4951-8996-aa1af63513e2">Fed Funds ONLY; ASW-TSLP(0)</Use_x0020__x002d__x0020_Not_x0020_All_x0020__x0028_Specify_x0029_>
    <Document_x0020_Type xmlns="5ef420af-b169-4951-8996-aa1af63513e2">SP</Document_x0020_Type>
    <Specification_x0020_Number xmlns="5ef420af-b169-4951-8996-aa1af63513e2">SP107-001510-02</Specification_x0020_Number>
    <On_x0020_Pick_x002d_List xmlns="5ef420af-b169-4951-8996-aa1af63513e2">true</On_x0020_Pick_x002d_List>
    <Replaced_x0020_By xmlns="5ef420af-b169-4951-8996-aa1af63513e2">Current</Replaced_x0020_By>
    <File_x0020_Extension xmlns="5ef420af-b169-4951-8996-aa1af63513e2">docx</File_x0020_Extension>
    <Div xmlns="5ef420af-b169-4951-8996-aa1af63513e2">I</Div>
    <Replaces xmlns="5ef420af-b169-4951-8996-aa1af63513e2">SP107-001510-01</Replaces>
    <Copy_x0020_to_x0020_Eguide xmlns="5ef420af-b169-4951-8996-aa1af63513e2">false</Copy_x0020_to_x0020_Eguid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5C6A43BDA224D93B977CDD4FEED65" ma:contentTypeVersion="37" ma:contentTypeDescription="Create a new document." ma:contentTypeScope="" ma:versionID="4f4139ebe856f31caf7507b5b865862b">
  <xsd:schema xmlns:xsd="http://www.w3.org/2001/XMLSchema" xmlns:xs="http://www.w3.org/2001/XMLSchema" xmlns:p="http://schemas.microsoft.com/office/2006/metadata/properties" xmlns:ns2="5ef420af-b169-4951-8996-aa1af63513e2" targetNamespace="http://schemas.microsoft.com/office/2006/metadata/properties" ma:root="true" ma:fieldsID="0337c8d9fe753dea050a5d7b3ad0c0a2" ns2:_="">
    <xsd:import namespace="5ef420af-b169-4951-8996-aa1af63513e2"/>
    <xsd:element name="properties">
      <xsd:complexType>
        <xsd:sequence>
          <xsd:element name="documentManagement">
            <xsd:complexType>
              <xsd:all>
                <xsd:element ref="ns2:Document_x0020_Type"/>
                <xsd:element ref="ns2:Expiration_x0020_Date0" minOccurs="0"/>
                <xsd:element ref="ns2:Availability_x0020_Date" minOccurs="0"/>
                <xsd:element ref="ns2:Div"/>
                <xsd:element ref="ns2:Sect"/>
                <xsd:element ref="ns2:Contains_x0020_Fields"/>
                <xsd:element ref="ns2:Usage_x0020_Guidance" minOccurs="0"/>
                <xsd:element ref="ns2:Status"/>
                <xsd:element ref="ns2:Specification_x0020_Number"/>
                <xsd:element ref="ns2:Specification_x0020_Category" minOccurs="0"/>
                <xsd:element ref="ns2:Replaces" minOccurs="0"/>
                <xsd:element ref="ns2:Replaced_x0020_By" minOccurs="0"/>
                <xsd:element ref="ns2:File_x0020_Extension" minOccurs="0"/>
                <xsd:element ref="ns2:Pick_x002d_List_x0020_Choice" minOccurs="0"/>
                <xsd:element ref="ns2:Web_x0020_List" minOccurs="0"/>
                <xsd:element ref="ns2:Choice" minOccurs="0"/>
                <xsd:element ref="ns2:Correct_x0020__x0026__x0020_Run" minOccurs="0"/>
                <xsd:element ref="ns2:Lists_x0020__x0028_Specify_x0020_Other_x0029_" minOccurs="0"/>
                <xsd:element ref="ns2:On_x0020_Pick_x002d_List" minOccurs="0"/>
                <xsd:element ref="ns2:Date_x0020_in_x0020_Spec_x0020_Book_x0020_or_x0020_Supplement" minOccurs="0"/>
                <xsd:element ref="ns2:Funds_x0020__x0028_Federal_x0029_" minOccurs="0"/>
                <xsd:element ref="ns2:Funds_x0020__x0028_State_x0029_" minOccurs="0"/>
                <xsd:element ref="ns2:Districts_x0020__x002d__x0020_Not_x0020_All_x0020__x0028_Specify_x0029_" minOccurs="0"/>
                <xsd:element ref="ns2:Use_x0020__x002d__x0020_Not_x0020_All_x0020__x0028_Specify_x0029_" minOccurs="0"/>
                <xsd:element ref="ns2:C_x0020__x0026__x0020_R_x0020_Date" minOccurs="0"/>
                <xsd:element ref="ns2:Copy_x0020_to_x0020_Eguide" minOccurs="0"/>
                <xsd:element ref="ns2:Advertisement"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420af-b169-4951-8996-aa1af63513e2" elementFormDefault="qualified">
    <xsd:import namespace="http://schemas.microsoft.com/office/2006/documentManagement/types"/>
    <xsd:import namespace="http://schemas.microsoft.com/office/infopath/2007/PartnerControls"/>
    <xsd:element name="Document_x0020_Type" ma:index="8" ma:displayName="Document Type*" ma:default="N/A" ma:description="What type of document is this file?" ma:format="Dropdown" ma:internalName="Document_x0020_Type" ma:readOnly="false">
      <xsd:simpleType>
        <xsd:restriction base="dms:Choice">
          <xsd:enumeration value="N/A"/>
          <xsd:enumeration value="Update"/>
          <xsd:enumeration value="Space"/>
          <xsd:enumeration value="Spec Book"/>
          <xsd:enumeration value="SPCN"/>
          <xsd:enumeration value="SP"/>
          <xsd:enumeration value="SS"/>
          <xsd:enumeration value="BK"/>
          <xsd:enumeration value="Pick List"/>
          <xsd:enumeration value="Guide"/>
          <xsd:enumeration value="Proj Info"/>
          <xsd:enumeration value="Gen Info"/>
          <xsd:enumeration value="Refer Doc"/>
          <xsd:enumeration value="Compiled"/>
          <xsd:enumeration value="Support Document"/>
        </xsd:restriction>
      </xsd:simpleType>
    </xsd:element>
    <xsd:element name="Expiration_x0020_Date0" ma:index="9" nillable="true" ma:displayName="Advertisement Obsolete" ma:default="5555-05-05T00:00:00Z" ma:description="First Advertisement this spec is Obsolete." ma:format="DateOnly" ma:internalName="Expiration_x0020_Date0" ma:readOnly="false">
      <xsd:simpleType>
        <xsd:restriction base="dms:DateTime"/>
      </xsd:simpleType>
    </xsd:element>
    <xsd:element name="Availability_x0020_Date" ma:index="10" nillable="true" ma:displayName="Availability Date^" ma:default="5555-05-05T00:00:00Z" ma:description="From this date forward, this specification can be selected for inclusion in a Bid Proposal." ma:format="DateOnly" ma:internalName="Availability_x0020_Date" ma:readOnly="false">
      <xsd:simpleType>
        <xsd:restriction base="dms:DateTime"/>
      </xsd:simpleType>
    </xsd:element>
    <xsd:element name="Div" ma:index="11" ma:displayName="Division*" ma:default="N/A" ma:description="Which Division of the Spec Book does this item fall under." ma:format="Dropdown" ma:internalName="Div" ma:readOnly="false">
      <xsd:simpleType>
        <xsd:restriction base="dms:Choice">
          <xsd:enumeration value="N/A"/>
          <xsd:enumeration value="I"/>
          <xsd:enumeration value="II"/>
          <xsd:enumeration value="III"/>
          <xsd:enumeration value="IV"/>
          <xsd:enumeration value="V"/>
          <xsd:enumeration value="VI"/>
          <xsd:enumeration value="VII"/>
          <xsd:enumeration value="VIII"/>
          <xsd:enumeration value="ALL"/>
        </xsd:restriction>
      </xsd:simpleType>
    </xsd:element>
    <xsd:element name="Sect" ma:index="12" ma:displayName="Section*" ma:default="000" ma:description="Which Section of the Book this Spec is associated with." ma:internalName="Sect" ma:readOnly="false">
      <xsd:simpleType>
        <xsd:restriction base="dms:Text">
          <xsd:maxLength value="255"/>
        </xsd:restriction>
      </xsd:simpleType>
    </xsd:element>
    <xsd:element name="Contains_x0020_Fields" ma:index="13" ma:displayName="Contains Fields*" ma:default="No" ma:description="Fill-in areas in spec text that require manual entry." ma:format="Dropdown" ma:internalName="Contains_x0020_Fields" ma:readOnly="false">
      <xsd:simpleType>
        <xsd:restriction base="dms:Choice">
          <xsd:enumeration value="No"/>
          <xsd:enumeration value="Yes"/>
        </xsd:restriction>
      </xsd:simpleType>
    </xsd:element>
    <xsd:element name="Usage_x0020_Guidance" ma:index="14" nillable="true" ma:displayName="Usage Guidelines^" ma:description="This is information for the Plan Reviewer to know when to include this specification as well as other specifications that need to be included in a Bid Proposal." ma:internalName="Usage_x0020_Guidance" ma:readOnly="false">
      <xsd:simpleType>
        <xsd:restriction base="dms:Note">
          <xsd:maxLength value="255"/>
        </xsd:restriction>
      </xsd:simpleType>
    </xsd:element>
    <xsd:element name="Status" ma:index="15" ma:displayName="Status*" ma:default="Draft" ma:description="What is the implementation status of this Specification" ma:format="Dropdown" ma:internalName="Status" ma:readOnly="false">
      <xsd:simpleType>
        <xsd:restriction base="dms:Choice">
          <xsd:enumeration value="Draft"/>
          <xsd:enumeration value="Active"/>
          <xsd:enumeration value="Obsolete"/>
          <xsd:enumeration value="Filed"/>
          <xsd:enumeration value="Placeholder"/>
        </xsd:restriction>
      </xsd:simpleType>
    </xsd:element>
    <xsd:element name="Specification_x0020_Number" ma:index="16" ma:displayName="Specification Number*" ma:description="Specification Number used for choosing and filtering." ma:internalName="Specification_x0020_Number" ma:readOnly="false">
      <xsd:simpleType>
        <xsd:restriction base="dms:Text">
          <xsd:maxLength value="255"/>
        </xsd:restriction>
      </xsd:simpleType>
    </xsd:element>
    <xsd:element name="Specification_x0020_Category" ma:index="17" nillable="true" ma:displayName="Specification Category" ma:default="&lt;Unclassified&gt;" ma:description="PDMS Category." ma:format="Dropdown" ma:internalName="Specification_x0020_Category" ma:readOnly="false">
      <xsd:simpleType>
        <xsd:restriction base="dms:Choice">
          <xsd:enumeration value="&lt;Unclassified&gt;"/>
          <xsd:enumeration value="1 General Provisions"/>
          <xsd:enumeration value="1a Federal Wage Rate"/>
          <xsd:enumeration value="2 Materials"/>
          <xsd:enumeration value="3 Roadway"/>
          <xsd:enumeration value="4 Bridges and Structures"/>
          <xsd:enumeration value="5 Incidental Construction"/>
          <xsd:enumeration value="6 Roadside Development"/>
          <xsd:enumeration value="7 Traffic Control"/>
          <xsd:enumeration value="8 Intelligent Transportation Systems"/>
          <xsd:enumeration value="Supporting Document"/>
        </xsd:restriction>
      </xsd:simpleType>
    </xsd:element>
    <xsd:element name="Replaces" ma:index="18" nillable="true" ma:displayName="Replaces^" ma:default="None" ma:description="Specification Number of the preceding document." ma:internalName="Replaces" ma:readOnly="false">
      <xsd:simpleType>
        <xsd:restriction base="dms:Text">
          <xsd:maxLength value="255"/>
        </xsd:restriction>
      </xsd:simpleType>
    </xsd:element>
    <xsd:element name="Replaced_x0020_By" ma:index="19" nillable="true" ma:displayName="Replaced By^" ma:default="Current" ma:description="Specification Number of the succeeding document." ma:internalName="Replaced_x0020_By" ma:readOnly="false">
      <xsd:simpleType>
        <xsd:restriction base="dms:Text">
          <xsd:maxLength value="255"/>
        </xsd:restriction>
      </xsd:simpleType>
    </xsd:element>
    <xsd:element name="File_x0020_Extension" ma:index="20" nillable="true" ma:displayName="File Extension" ma:description="File extension. Typically: docx; pdf; xlsx etc." ma:internalName="File_x0020_Extension" ma:readOnly="false">
      <xsd:simpleType>
        <xsd:restriction base="dms:Text">
          <xsd:maxLength value="255"/>
        </xsd:restriction>
      </xsd:simpleType>
    </xsd:element>
    <xsd:element name="Pick_x002d_List_x0020_Choice" ma:index="21" nillable="true" ma:displayName="Design-Build" ma:default="0" ma:description="This specification is meant for Design-Build projects." ma:internalName="Pick_x002d_List_x0020_Choice" ma:readOnly="false">
      <xsd:simpleType>
        <xsd:restriction base="dms:Boolean"/>
      </xsd:simpleType>
    </xsd:element>
    <xsd:element name="Web_x0020_List" ma:index="22" nillable="true" ma:displayName="On Latest Web-List" ma:default="1" ma:description="Only those Documents that appear on the latest VDOT Web-List." ma:internalName="Web_x0020_List" ma:readOnly="false">
      <xsd:simpleType>
        <xsd:restriction base="dms:Boolean"/>
      </xsd:simpleType>
    </xsd:element>
    <xsd:element name="Choice" ma:index="23" nillable="true" ma:displayName="Gen Pick List Choice^" ma:default="1" ma:description="Only those Documents that appear on the latest General Pick-List." ma:internalName="Choice" ma:readOnly="false">
      <xsd:simpleType>
        <xsd:restriction base="dms:Boolean"/>
      </xsd:simpleType>
    </xsd:element>
    <xsd:element name="Correct_x0020__x0026__x0020_Run" ma:index="24" nillable="true" ma:displayName="Correct &amp; Run Instructions" ma:default="DRAFT" ma:description="Instructions on how to handle spec changes that may already be in an assembled proposal but need to be changed for advertisement." ma:format="Dropdown" ma:internalName="Correct_x0020__x0026__x0020_Run" ma:readOnly="false">
      <xsd:simpleType>
        <xsd:restriction base="dms:Choice">
          <xsd:enumeration value="DRAFT"/>
          <xsd:enumeration value="Add if it applies"/>
          <xsd:enumeration value="Replace"/>
          <xsd:enumeration value="Replacement"/>
          <xsd:enumeration value="Delete"/>
          <xsd:enumeration value="N/A"/>
        </xsd:restriction>
      </xsd:simpleType>
    </xsd:element>
    <xsd:element name="Lists_x0020__x0028_Specify_x0020_Other_x0029_" ma:index="25" nillable="true" ma:displayName="ASW Pick List Group" ma:default="None" ma:description="Headings for grouping of Asphalt Schedule Work (ASW) Pick List." ma:internalName="Lists_x0020__x0028_Specify_x0020_Other_x0029_" ma:readOnly="false">
      <xsd:simpleType>
        <xsd:restriction base="dms:Text">
          <xsd:maxLength value="255"/>
        </xsd:restriction>
      </xsd:simpleType>
    </xsd:element>
    <xsd:element name="On_x0020_Pick_x002d_List" ma:index="26" nillable="true" ma:displayName="ASW Pick List Choice^" ma:default="0" ma:description="Only those Documents that appear on the latest Asphalt Schedule Work Pick-List." ma:internalName="On_x0020_Pick_x002d_List" ma:readOnly="false">
      <xsd:simpleType>
        <xsd:restriction base="dms:Boolean"/>
      </xsd:simpleType>
    </xsd:element>
    <xsd:element name="Date_x0020_in_x0020_Spec_x0020_Book_x0020_or_x0020_Supplement" ma:index="27" nillable="true" ma:displayName="In Book/Supplement (Date)" ma:default="5555-05-05T00:00:00Z" ma:description="Date this document is included in the Spec Book or Supplemental Specifications." ma:format="DateOnly" ma:internalName="Date_x0020_in_x0020_Spec_x0020_Book_x0020_or_x0020_Supplement" ma:readOnly="false">
      <xsd:simpleType>
        <xsd:restriction base="dms:DateTime"/>
      </xsd:simpleType>
    </xsd:element>
    <xsd:element name="Funds_x0020__x0028_Federal_x0029_" ma:index="28" nillable="true" ma:displayName="Funds (Federal)^" ma:default="1" ma:description="May be used for Federal Funds." ma:internalName="Funds_x0020__x0028_Federal_x0029_" ma:readOnly="false">
      <xsd:simpleType>
        <xsd:restriction base="dms:Boolean"/>
      </xsd:simpleType>
    </xsd:element>
    <xsd:element name="Funds_x0020__x0028_State_x0029_" ma:index="29" nillable="true" ma:displayName="Funds (State)^" ma:default="1" ma:description="May be used for State Funds." ma:internalName="Funds_x0020__x0028_State_x0029_" ma:readOnly="false">
      <xsd:simpleType>
        <xsd:restriction base="dms:Boolean"/>
      </xsd:simpleType>
    </xsd:element>
    <xsd:element name="Districts_x0020__x002d__x0020_Not_x0020_All_x0020__x0028_Specify_x0029_" ma:index="30" nillable="true" ma:displayName="Districts-(Specify)^" ma:default="All" ma:description="Specify to which Districts this applies." ma:internalName="Districts_x0020__x002d__x0020_Not_x0020_All_x0020__x0028_Specify_x0029_" ma:readOnly="false">
      <xsd:simpleType>
        <xsd:restriction base="dms:Text">
          <xsd:maxLength value="255"/>
        </xsd:restriction>
      </xsd:simpleType>
    </xsd:element>
    <xsd:element name="Use_x0020__x002d__x0020_Not_x0020_All_x0020__x0028_Specify_x0029_" ma:index="31" nillable="true" ma:displayName="Use - Contract Type (Specify)^" ma:default="Any" ma:description="Specify which type of contract administration this applies to. (Asphalt Schedule Work, Emergency, On-call, etc.)." ma:internalName="Use_x0020__x002d__x0020_Not_x0020_All_x0020__x0028_Specify_x0029_" ma:readOnly="false">
      <xsd:simpleType>
        <xsd:restriction base="dms:Text">
          <xsd:maxLength value="255"/>
        </xsd:restriction>
      </xsd:simpleType>
    </xsd:element>
    <xsd:element name="C_x0020__x0026__x0020_R_x0020_Date" ma:index="32" nillable="true" ma:displayName="C &amp; R Date" ma:default="5555-05-05T00:00:00Z" ma:description="Advertisement Date when spec is either added(Availability), is replaced(Expiration), replaces(Availability) or is deleted(Expiration)." ma:format="DateOnly" ma:internalName="C_x0020__x0026__x0020_R_x0020_Date" ma:readOnly="false">
      <xsd:simpleType>
        <xsd:restriction base="dms:DateTime"/>
      </xsd:simpleType>
    </xsd:element>
    <xsd:element name="Copy_x0020_to_x0020_Eguide" ma:index="33" nillable="true" ma:displayName="Amended" ma:default="0" ma:description="This specification has been amended by another specification elsewhere." ma:internalName="Copy_x0020_to_x0020_Eguide" ma:readOnly="false">
      <xsd:simpleType>
        <xsd:restriction base="dms:Boolean"/>
      </xsd:simpleType>
    </xsd:element>
    <xsd:element name="Advertisement" ma:index="34" nillable="true" ma:displayName="Advertisement Active" ma:description="First Advertisement this spec is Active." ma:format="DateOnly" ma:internalName="Advertisement" ma:readOnly="false">
      <xsd:simpleType>
        <xsd:restriction base="dms:DateTime"/>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55426-AB94-418F-AB8A-3A69C8282CE7}">
  <ds:schemaRefs>
    <ds:schemaRef ds:uri="http://schemas.microsoft.com/office/2006/metadata/properties"/>
    <ds:schemaRef ds:uri="http://schemas.microsoft.com/office/infopath/2007/PartnerControls"/>
    <ds:schemaRef ds:uri="5ef420af-b169-4951-8996-aa1af63513e2"/>
  </ds:schemaRefs>
</ds:datastoreItem>
</file>

<file path=customXml/itemProps2.xml><?xml version="1.0" encoding="utf-8"?>
<ds:datastoreItem xmlns:ds="http://schemas.openxmlformats.org/officeDocument/2006/customXml" ds:itemID="{031CCF5A-BDF9-4BC2-A754-0400F8195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420af-b169-4951-8996-aa1af635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32CB8-D1FB-45C1-B8EE-4EF3066A21DC}">
  <ds:schemaRefs>
    <ds:schemaRef ds:uri="http://schemas.microsoft.com/office/2006/metadata/longProperties"/>
  </ds:schemaRefs>
</ds:datastoreItem>
</file>

<file path=customXml/itemProps4.xml><?xml version="1.0" encoding="utf-8"?>
<ds:datastoreItem xmlns:ds="http://schemas.openxmlformats.org/officeDocument/2006/customXml" ds:itemID="{535EEE40-F0C2-4A56-AC02-BF37565AE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10058</Words>
  <Characters>57336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SECTION 107.15 (DBEs) 8-18-17</vt:lpstr>
    </vt:vector>
  </TitlesOfParts>
  <Company>VDOT</Company>
  <LinksUpToDate>false</LinksUpToDate>
  <CharactersWithSpaces>67260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107.15 (DBEs) 8-18-17</dc:title>
  <dc:creator>vdot</dc:creator>
  <cp:lastModifiedBy>VITA Program</cp:lastModifiedBy>
  <cp:revision>2</cp:revision>
  <dcterms:created xsi:type="dcterms:W3CDTF">2022-03-09T17:31:00Z</dcterms:created>
  <dcterms:modified xsi:type="dcterms:W3CDTF">2022-03-09T17:31:00Z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ars in 1">
    <vt:lpwstr>No</vt:lpwstr>
  </property>
  <property fmtid="{D5CDD505-2E9C-101B-9397-08002B2CF9AE}" pid="3" name="Appears in 2">
    <vt:lpwstr>No</vt:lpwstr>
  </property>
  <property fmtid="{D5CDD505-2E9C-101B-9397-08002B2CF9AE}" pid="4" name="Availability Date">
    <vt:filetime>2016-04-01T04:00:00Z</vt:filetime>
  </property>
  <property fmtid="{D5CDD505-2E9C-101B-9397-08002B2CF9AE}" pid="5" name="Book Year">
    <vt:lpwstr>2007</vt:lpwstr>
  </property>
  <property fmtid="{D5CDD505-2E9C-101B-9397-08002B2CF9AE}" pid="6" name="CNSP Database">
    <vt:lpwstr>, </vt:lpwstr>
  </property>
  <property fmtid="{D5CDD505-2E9C-101B-9397-08002B2CF9AE}" pid="7" name="Contains Fields">
    <vt:lpwstr>No</vt:lpwstr>
  </property>
  <property fmtid="{D5CDD505-2E9C-101B-9397-08002B2CF9AE}" pid="8" name="ContentTypeId">
    <vt:lpwstr>0x010100DF75C6A43BDA224D93B977CDD4FEED65</vt:lpwstr>
  </property>
  <property fmtid="{D5CDD505-2E9C-101B-9397-08002B2CF9AE}" pid="9" name="Crosswalk">
    <vt:lpwstr>, </vt:lpwstr>
  </property>
  <property fmtid="{D5CDD505-2E9C-101B-9397-08002B2CF9AE}" pid="10" name="display_urn:schemas-microsoft-com:office:office#Author">
    <vt:lpwstr>Gayle, David W. (VDOT)</vt:lpwstr>
  </property>
  <property fmtid="{D5CDD505-2E9C-101B-9397-08002B2CF9AE}" pid="11" name="display_urn:schemas-microsoft-com:office:office#Editor">
    <vt:lpwstr>Gayle, David W. (VDOT)</vt:lpwstr>
  </property>
  <property fmtid="{D5CDD505-2E9C-101B-9397-08002B2CF9AE}" pid="12" name="Div">
    <vt:lpwstr>I</vt:lpwstr>
  </property>
  <property fmtid="{D5CDD505-2E9C-101B-9397-08002B2CF9AE}" pid="13" name="Division0">
    <vt:lpwstr>I</vt:lpwstr>
  </property>
  <property fmtid="{D5CDD505-2E9C-101B-9397-08002B2CF9AE}" pid="14" name="Doc Group">
    <vt:lpwstr>Revisions</vt:lpwstr>
  </property>
  <property fmtid="{D5CDD505-2E9C-101B-9397-08002B2CF9AE}" pid="15" name="Doc Subgroup">
    <vt:lpwstr>Std</vt:lpwstr>
  </property>
  <property fmtid="{D5CDD505-2E9C-101B-9397-08002B2CF9AE}" pid="16" name="Doc/Aux">
    <vt:lpwstr>Doc</vt:lpwstr>
  </property>
  <property fmtid="{D5CDD505-2E9C-101B-9397-08002B2CF9AE}" pid="17" name="Document">
    <vt:lpwstr>Revision</vt:lpwstr>
  </property>
  <property fmtid="{D5CDD505-2E9C-101B-9397-08002B2CF9AE}" pid="18" name="Document Type">
    <vt:lpwstr>SP</vt:lpwstr>
  </property>
  <property fmtid="{D5CDD505-2E9C-101B-9397-08002B2CF9AE}" pid="19" name="Effective Adv Date">
    <vt:filetime>2016-06-10T04:00:00Z</vt:filetime>
  </property>
  <property fmtid="{D5CDD505-2E9C-101B-9397-08002B2CF9AE}" pid="20" name="Effective Date">
    <vt:lpwstr>2009-06-01T00:00:00Z</vt:lpwstr>
  </property>
  <property fmtid="{D5CDD505-2E9C-101B-9397-08002B2CF9AE}" pid="21" name="GGuide">
    <vt:lpwstr>https://covgov.sharepoint.com/sites/TM-VDOT-SC-Specifications-External/2016_Standard_Specifications/Forms/PLGG.aspx?View={059C9ADD-1EEB-4E46-8248-51123B71B3E6}&amp;FilterField1=ID&amp;FilterValue1=1741, G</vt:lpwstr>
  </property>
  <property fmtid="{D5CDD505-2E9C-101B-9397-08002B2CF9AE}" pid="22" name="In 2007 Book?">
    <vt:lpwstr>Yes</vt:lpwstr>
  </property>
  <property fmtid="{D5CDD505-2E9C-101B-9397-08002B2CF9AE}" pid="23" name="In 2014 ASW?">
    <vt:lpwstr>No</vt:lpwstr>
  </property>
  <property fmtid="{D5CDD505-2E9C-101B-9397-08002B2CF9AE}" pid="24" name="In 2015 ASW?">
    <vt:lpwstr>No</vt:lpwstr>
  </property>
  <property fmtid="{D5CDD505-2E9C-101B-9397-08002B2CF9AE}" pid="25" name="In 2015 Book?">
    <vt:lpwstr>No</vt:lpwstr>
  </property>
  <property fmtid="{D5CDD505-2E9C-101B-9397-08002B2CF9AE}" pid="26" name="In Asphalt SW">
    <vt:lpwstr>No</vt:lpwstr>
  </property>
  <property fmtid="{D5CDD505-2E9C-101B-9397-08002B2CF9AE}" pid="27" name="In Checklist(F)?">
    <vt:lpwstr>No</vt:lpwstr>
  </property>
  <property fmtid="{D5CDD505-2E9C-101B-9397-08002B2CF9AE}" pid="28" name="In Checklist(S)?">
    <vt:lpwstr>No</vt:lpwstr>
  </property>
  <property fmtid="{D5CDD505-2E9C-101B-9397-08002B2CF9AE}" pid="29" name="In Checklist?">
    <vt:lpwstr>N/A</vt:lpwstr>
  </property>
  <property fmtid="{D5CDD505-2E9C-101B-9397-08002B2CF9AE}" pid="30" name="In CNSP?">
    <vt:lpwstr>Yes</vt:lpwstr>
  </property>
  <property fmtid="{D5CDD505-2E9C-101B-9397-08002B2CF9AE}" pid="31" name="In Library?">
    <vt:lpwstr>Yes</vt:lpwstr>
  </property>
  <property fmtid="{D5CDD505-2E9C-101B-9397-08002B2CF9AE}" pid="32" name="In PM?">
    <vt:lpwstr>N/A</vt:lpwstr>
  </property>
  <property fmtid="{D5CDD505-2E9C-101B-9397-08002B2CF9AE}" pid="33" name="In SL?">
    <vt:lpwstr>N/A</vt:lpwstr>
  </property>
  <property fmtid="{D5CDD505-2E9C-101B-9397-08002B2CF9AE}" pid="34" name="In ST?">
    <vt:lpwstr>N/A</vt:lpwstr>
  </property>
  <property fmtid="{D5CDD505-2E9C-101B-9397-08002B2CF9AE}" pid="35" name="List">
    <vt:lpwstr>SPEC102_D</vt:lpwstr>
  </property>
  <property fmtid="{D5CDD505-2E9C-101B-9397-08002B2CF9AE}" pid="36" name="Local Assist(F)">
    <vt:lpwstr>N/A</vt:lpwstr>
  </property>
  <property fmtid="{D5CDD505-2E9C-101B-9397-08002B2CF9AE}" pid="37" name="Migration Disposition">
    <vt:lpwstr>Migrate</vt:lpwstr>
  </property>
  <property fmtid="{D5CDD505-2E9C-101B-9397-08002B2CF9AE}" pid="38" name="Order">
    <vt:r8>15300</vt:r8>
  </property>
  <property fmtid="{D5CDD505-2E9C-101B-9397-08002B2CF9AE}" pid="39" name="PDMS">
    <vt:lpwstr>http://pdmsstg.cov.virginia.gov/const/specs/Pages/home.aspx?View={271FAF68-7962-43E3-8223-00BAA72B21E6}&amp;FilterField1=pdmsSpecificationNumber&amp;FilterValue1=cn100-000025-00, XXXXX-XXXXXX-XX</vt:lpwstr>
  </property>
  <property fmtid="{D5CDD505-2E9C-101B-9397-08002B2CF9AE}" pid="40" name="PDMS-Specs (1st Loc)">
    <vt:lpwstr>https://outsidevdot.cov.virginia.gov/P0JQP/Specifications/Forms/XCSSPS.aspx?View={B8326909-174B-4AA7-987E-6FEFF09C6FE9}&amp;FilterField1=Specification%5Fx0020%5FNumber&amp;FilterValue1=cn100-000025-00, XXXXX-XXXXXX-XX</vt:lpwstr>
  </property>
  <property fmtid="{D5CDD505-2E9C-101B-9397-08002B2CF9AE}" pid="41" name="Sect">
    <vt:lpwstr>107</vt:lpwstr>
  </property>
  <property fmtid="{D5CDD505-2E9C-101B-9397-08002B2CF9AE}" pid="42" name="Section No.">
    <vt:lpwstr>102</vt:lpwstr>
  </property>
  <property fmtid="{D5CDD505-2E9C-101B-9397-08002B2CF9AE}" pid="43" name="Source">
    <vt:lpwstr>ALL</vt:lpwstr>
  </property>
  <property fmtid="{D5CDD505-2E9C-101B-9397-08002B2CF9AE}" pid="44" name="SPCN/SP/SS">
    <vt:lpwstr>SPCN</vt:lpwstr>
  </property>
  <property fmtid="{D5CDD505-2E9C-101B-9397-08002B2CF9AE}" pid="45" name="Spec Groups">
    <vt:lpwstr>, </vt:lpwstr>
  </property>
  <property fmtid="{D5CDD505-2E9C-101B-9397-08002B2CF9AE}" pid="46" name="Spec/Supp">
    <vt:lpwstr>Spec</vt:lpwstr>
  </property>
  <property fmtid="{D5CDD505-2E9C-101B-9397-08002B2CF9AE}" pid="47" name="Special Qualifications">
    <vt:lpwstr/>
  </property>
  <property fmtid="{D5CDD505-2E9C-101B-9397-08002B2CF9AE}" pid="48" name="Specification Category">
    <vt:lpwstr>2</vt:lpwstr>
  </property>
  <property fmtid="{D5CDD505-2E9C-101B-9397-08002B2CF9AE}" pid="49" name="Specification Number">
    <vt:lpwstr>SP107-150100-00</vt:lpwstr>
  </property>
  <property fmtid="{D5CDD505-2E9C-101B-9397-08002B2CF9AE}" pid="50" name="Status">
    <vt:lpwstr>Active</vt:lpwstr>
  </property>
  <property fmtid="{D5CDD505-2E9C-101B-9397-08002B2CF9AE}" pid="51" name="Subgroup 2">
    <vt:lpwstr>No</vt:lpwstr>
  </property>
  <property fmtid="{D5CDD505-2E9C-101B-9397-08002B2CF9AE}" pid="52" name="URL">
    <vt:lpwstr/>
  </property>
  <property fmtid="{D5CDD505-2E9C-101B-9397-08002B2CF9AE}" pid="53" name="Usage Guidance">
    <vt:lpwstr>Federal projects only.{2007-S107HF1}</vt:lpwstr>
  </property>
  <property fmtid="{D5CDD505-2E9C-101B-9397-08002B2CF9AE}" pid="54" name="V2ASW">
    <vt:lpwstr>N/A</vt:lpwstr>
  </property>
  <property fmtid="{D5CDD505-2E9C-101B-9397-08002B2CF9AE}" pid="55" name="Vol 2 Use?">
    <vt:lpwstr>No</vt:lpwstr>
  </property>
  <property fmtid="{D5CDD505-2E9C-101B-9397-08002B2CF9AE}" pid="56" name="Volume">
    <vt:lpwstr>N/A</vt:lpwstr>
  </property>
  <property fmtid="{D5CDD505-2E9C-101B-9397-08002B2CF9AE}" pid="57" name="Volume 2015">
    <vt:lpwstr>N/A</vt:lpwstr>
  </property>
  <property fmtid="{D5CDD505-2E9C-101B-9397-08002B2CF9AE}" pid="58" name="WORD Direct">
    <vt:lpwstr>, </vt:lpwstr>
  </property>
  <property fmtid="{D5CDD505-2E9C-101B-9397-08002B2CF9AE}" pid="59" name="X-Guidelines">
    <vt:lpwstr/>
  </property>
  <property fmtid="{D5CDD505-2E9C-101B-9397-08002B2CF9AE}" pid="60" name="_dlc_DocIdUrl">
    <vt:lpwstr>http://insidevdot/div/sc/Design/Specs/2007/_layouts/DocIdRedir.aspx?ID=/insidevdot/div/sc/Design/Specs/2007|b67ed13b-2364-4400-a6dd-6407079916f1, /insidevdot/div/sc/Design/Specs/2007|b67ed13b-2364-4400-a6dd-6407079916f1</vt:lpwstr>
  </property>
  <property fmtid="{D5CDD505-2E9C-101B-9397-08002B2CF9AE}" pid="61" name="_docset_NoMedatataSyncRequired">
    <vt:lpwstr>False</vt:lpwstr>
  </property>
</Properties>
</file>